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94D" w:rsidRDefault="00AF194D">
      <w:pPr>
        <w:keepNext/>
        <w:pBdr>
          <w:top w:val="nil"/>
          <w:left w:val="nil"/>
          <w:bottom w:val="nil"/>
          <w:right w:val="nil"/>
          <w:between w:val="nil"/>
        </w:pBdr>
        <w:spacing w:after="240" w:line="240" w:lineRule="auto"/>
        <w:rPr>
          <w:rFonts w:ascii="Arial" w:eastAsia="Arial" w:hAnsi="Arial" w:cs="Arial"/>
          <w:b/>
          <w:smallCaps/>
          <w:color w:val="000000"/>
        </w:rPr>
      </w:pPr>
      <w:bookmarkStart w:id="0" w:name="_GoBack"/>
      <w:bookmarkEnd w:id="0"/>
    </w:p>
    <w:p w:rsidR="00AF194D" w:rsidRDefault="00AF53A3">
      <w:pPr>
        <w:keepNext/>
        <w:pBdr>
          <w:top w:val="nil"/>
          <w:left w:val="nil"/>
          <w:bottom w:val="nil"/>
          <w:right w:val="nil"/>
          <w:between w:val="nil"/>
        </w:pBdr>
        <w:spacing w:after="240" w:line="240" w:lineRule="auto"/>
        <w:jc w:val="center"/>
        <w:rPr>
          <w:rFonts w:ascii="Arial" w:eastAsia="Arial" w:hAnsi="Arial" w:cs="Arial"/>
          <w:b/>
          <w:smallCaps/>
          <w:color w:val="000000"/>
        </w:rPr>
      </w:pPr>
      <w:r>
        <w:rPr>
          <w:rFonts w:ascii="Arial" w:eastAsia="Arial" w:hAnsi="Arial" w:cs="Arial"/>
          <w:b/>
          <w:smallCaps/>
          <w:color w:val="000000"/>
        </w:rPr>
        <w:t>Schedule 3 – Portfolio price determination and Electricity Procurement Services</w:t>
      </w:r>
    </w:p>
    <w:p w:rsidR="00AF194D" w:rsidRDefault="00AF53A3">
      <w:pPr>
        <w:keepNext/>
        <w:numPr>
          <w:ilvl w:val="0"/>
          <w:numId w:val="5"/>
        </w:numPr>
        <w:spacing w:before="230" w:after="230" w:line="360" w:lineRule="auto"/>
        <w:jc w:val="both"/>
        <w:rPr>
          <w:rFonts w:ascii="Arial" w:eastAsia="Arial" w:hAnsi="Arial" w:cs="Arial"/>
        </w:rPr>
      </w:pPr>
      <w:bookmarkStart w:id="1" w:name="_gjdgxs" w:colFirst="0" w:colLast="0"/>
      <w:bookmarkEnd w:id="1"/>
      <w:r>
        <w:rPr>
          <w:rFonts w:ascii="Arial" w:eastAsia="Arial" w:hAnsi="Arial" w:cs="Arial"/>
          <w:b/>
        </w:rPr>
        <w:t>INTRODUCTION</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Schedule 3 describes the Electricity Procurement Services which the Supplier shall provide to the Authority and the manner in which such services shall be provided.</w:t>
      </w:r>
    </w:p>
    <w:p w:rsidR="00AF194D" w:rsidRDefault="00AF53A3">
      <w:pPr>
        <w:keepNext/>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Paragraph 1 is</w:t>
      </w:r>
      <w:r>
        <w:rPr>
          <w:rFonts w:ascii="Arial" w:eastAsia="Arial" w:hAnsi="Arial" w:cs="Arial"/>
        </w:rPr>
        <w:t xml:space="preserve"> a</w:t>
      </w:r>
      <w:r>
        <w:rPr>
          <w:rFonts w:ascii="Arial" w:eastAsia="Arial" w:hAnsi="Arial" w:cs="Arial"/>
          <w:color w:val="000000"/>
        </w:rPr>
        <w:t xml:space="preserve"> high level description of the process which the Authority and Supplier follow in ensuring the supply of Electricity Products to meet the Customer Portfolio Demand:</w:t>
      </w:r>
    </w:p>
    <w:p w:rsidR="00AF194D" w:rsidRDefault="00AF53A3">
      <w:pPr>
        <w:numPr>
          <w:ilvl w:val="1"/>
          <w:numId w:val="5"/>
        </w:numPr>
        <w:spacing w:after="230" w:line="360" w:lineRule="auto"/>
        <w:jc w:val="both"/>
      </w:pPr>
      <w:r>
        <w:rPr>
          <w:rFonts w:ascii="Arial" w:eastAsia="Arial" w:hAnsi="Arial" w:cs="Arial"/>
        </w:rPr>
        <w:t>Except in the case of Interim Supply and Default Transactions, prices for Electricity Products are set in Price Setting Rounds.</w:t>
      </w:r>
    </w:p>
    <w:p w:rsidR="00AF194D" w:rsidRDefault="00AF53A3">
      <w:pPr>
        <w:numPr>
          <w:ilvl w:val="1"/>
          <w:numId w:val="5"/>
        </w:numPr>
        <w:spacing w:after="230" w:line="360" w:lineRule="auto"/>
        <w:jc w:val="both"/>
      </w:pPr>
      <w:r>
        <w:rPr>
          <w:rFonts w:ascii="Arial" w:eastAsia="Arial" w:hAnsi="Arial" w:cs="Arial"/>
        </w:rPr>
        <w:t xml:space="preserve">In respect of each Price Setting Round, the Authority provides the Supplier with Customer Site Specific Information prior to the relevant Price Setting Round Commitment Point. </w:t>
      </w:r>
    </w:p>
    <w:p w:rsidR="00AF194D" w:rsidRDefault="00AF53A3">
      <w:pPr>
        <w:numPr>
          <w:ilvl w:val="1"/>
          <w:numId w:val="5"/>
        </w:numPr>
        <w:spacing w:after="230" w:line="360" w:lineRule="auto"/>
        <w:jc w:val="both"/>
      </w:pPr>
      <w:r>
        <w:rPr>
          <w:rFonts w:ascii="Arial" w:eastAsia="Arial" w:hAnsi="Arial" w:cs="Arial"/>
        </w:rPr>
        <w:t>The Supplier uses the Customer Site Specific Information it holds or obtains for the Supply Points specified in the Site List to create a Purchase Shape before each Price Setting Round Commitment Point. The Supplier keeps the Purchase Shape under review and provides the Authority with the updated Purchase Shape from time to time.</w:t>
      </w:r>
    </w:p>
    <w:p w:rsidR="00AF194D" w:rsidRDefault="00AF53A3">
      <w:pPr>
        <w:numPr>
          <w:ilvl w:val="1"/>
          <w:numId w:val="5"/>
        </w:numPr>
        <w:spacing w:after="230" w:line="360" w:lineRule="auto"/>
        <w:jc w:val="both"/>
      </w:pPr>
      <w:r>
        <w:rPr>
          <w:rFonts w:ascii="Arial" w:eastAsia="Arial" w:hAnsi="Arial" w:cs="Arial"/>
        </w:rPr>
        <w:t>The Authority shall use the Purchase Shape to determine the Transactions to be entered into in respect of a Supply Year. For the avoidance of doubt, at the point the Final Purchase Shape is approved by the Authority, volume risk passes to the Supplier.</w:t>
      </w:r>
    </w:p>
    <w:p w:rsidR="00AF194D" w:rsidRDefault="00AF53A3">
      <w:pPr>
        <w:numPr>
          <w:ilvl w:val="1"/>
          <w:numId w:val="5"/>
        </w:numPr>
        <w:spacing w:after="230" w:line="360" w:lineRule="auto"/>
        <w:jc w:val="both"/>
      </w:pPr>
      <w:r>
        <w:rPr>
          <w:rFonts w:ascii="Arial" w:eastAsia="Arial" w:hAnsi="Arial" w:cs="Arial"/>
          <w:highlight w:val="white"/>
        </w:rPr>
        <w:t>The Authority may enter into future Direct PPAs, and the electricity purchased through Direct PPA's will result in the fixing of prices for electricity pursuant to Annex 1 and the Charges Annex".</w:t>
      </w:r>
    </w:p>
    <w:p w:rsidR="00AF194D" w:rsidRDefault="00AF53A3">
      <w:pPr>
        <w:numPr>
          <w:ilvl w:val="1"/>
          <w:numId w:val="5"/>
        </w:numPr>
        <w:spacing w:after="230" w:line="360" w:lineRule="auto"/>
        <w:jc w:val="both"/>
      </w:pPr>
      <w:r>
        <w:rPr>
          <w:rFonts w:ascii="Arial" w:eastAsia="Arial" w:hAnsi="Arial" w:cs="Arial"/>
        </w:rPr>
        <w:t xml:space="preserve">The Supplier may also enter into Indirect PPAs and the electricity purchased through Indirect PPAs will result in the fixing of prices for electricity pursuant to Annexes 5 and 6. </w:t>
      </w:r>
    </w:p>
    <w:p w:rsidR="00AF194D" w:rsidRDefault="00AF53A3">
      <w:pPr>
        <w:numPr>
          <w:ilvl w:val="1"/>
          <w:numId w:val="5"/>
        </w:numPr>
        <w:spacing w:after="230" w:line="360" w:lineRule="auto"/>
        <w:jc w:val="both"/>
      </w:pPr>
      <w:r>
        <w:rPr>
          <w:rFonts w:ascii="Arial" w:eastAsia="Arial" w:hAnsi="Arial" w:cs="Arial"/>
        </w:rPr>
        <w:t>Electricity supplied pursuant to Embedded Generation will result in the fixing of prices for electricity pursuant to Annex 8.</w:t>
      </w:r>
    </w:p>
    <w:p w:rsidR="00AF194D" w:rsidRDefault="00AF53A3">
      <w:pPr>
        <w:numPr>
          <w:ilvl w:val="1"/>
          <w:numId w:val="5"/>
        </w:numPr>
        <w:spacing w:after="230" w:line="360" w:lineRule="auto"/>
        <w:jc w:val="both"/>
      </w:pPr>
      <w:r>
        <w:rPr>
          <w:rFonts w:ascii="Arial" w:eastAsia="Arial" w:hAnsi="Arial" w:cs="Arial"/>
        </w:rPr>
        <w:lastRenderedPageBreak/>
        <w:t xml:space="preserve">The Supplier calculates the price of Electricity Products payable by the Customer on: (i) a Supply Point by Supply Point basis; or (ii) an aggregate Customer Supply Point basis (as the Customer elects under its Customer Contract). </w:t>
      </w:r>
    </w:p>
    <w:p w:rsidR="00AF194D" w:rsidRDefault="00AF53A3">
      <w:pPr>
        <w:numPr>
          <w:ilvl w:val="1"/>
          <w:numId w:val="5"/>
        </w:numPr>
        <w:spacing w:after="230" w:line="360" w:lineRule="auto"/>
        <w:jc w:val="both"/>
      </w:pPr>
      <w:r>
        <w:rPr>
          <w:rFonts w:ascii="Arial" w:eastAsia="Arial" w:hAnsi="Arial" w:cs="Arial"/>
        </w:rPr>
        <w:t>In invoicing the Customer pursuant to the Customer Contract, the Invoice Amount shall be comprised of Variable Charges and Fixed Daily Charges as described in Paragraph 9, or which the Authority otherwise agrees may be charged.</w:t>
      </w:r>
    </w:p>
    <w:p w:rsidR="00AF194D" w:rsidRDefault="00AF53A3">
      <w:pPr>
        <w:numPr>
          <w:ilvl w:val="1"/>
          <w:numId w:val="5"/>
        </w:numPr>
        <w:spacing w:after="230" w:line="360" w:lineRule="auto"/>
        <w:jc w:val="both"/>
      </w:pPr>
      <w:r>
        <w:rPr>
          <w:rFonts w:ascii="Arial" w:eastAsia="Arial" w:hAnsi="Arial" w:cs="Arial"/>
        </w:rPr>
        <w:t>For the purposes of this Schedule 3 the following terms shall have the following meaning-</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(a) APX Day Ahead Auction Index means the APX UK Power Auction, where trading takes place on one day for delivery of electricity the next day, having hourly reference prices published on the day prior to delivery at </w:t>
      </w:r>
      <w:hyperlink r:id="rId7">
        <w:r>
          <w:rPr>
            <w:rFonts w:ascii="Arial" w:eastAsia="Arial" w:hAnsi="Arial" w:cs="Arial"/>
            <w:color w:val="0000FF"/>
            <w:u w:val="single"/>
          </w:rPr>
          <w:t>www.apxgroup.com</w:t>
        </w:r>
      </w:hyperlink>
      <w:r>
        <w:rPr>
          <w:rFonts w:ascii="Arial" w:eastAsia="Arial" w:hAnsi="Arial" w:cs="Arial"/>
        </w:rPr>
        <w:t>;</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(b) N2EX Day Ahead Auction Index means the N2EX Day Ahead Auction Market, where trading takes place on one day for delivery of electricity the next day, having hourly prices published on the day prior to delivery at </w:t>
      </w:r>
      <w:hyperlink r:id="rId8">
        <w:r>
          <w:rPr>
            <w:rFonts w:ascii="Arial" w:eastAsia="Arial" w:hAnsi="Arial" w:cs="Arial"/>
            <w:color w:val="0000FF"/>
            <w:u w:val="single"/>
          </w:rPr>
          <w:t>www.nordpoolspot.com</w:t>
        </w:r>
      </w:hyperlink>
      <w:r>
        <w:rPr>
          <w:rFonts w:ascii="Arial" w:eastAsia="Arial" w:hAnsi="Arial" w:cs="Arial"/>
        </w:rPr>
        <w:t>; and</w:t>
      </w:r>
    </w:p>
    <w:p w:rsidR="00AF194D" w:rsidRDefault="00AF53A3">
      <w:pPr>
        <w:spacing w:after="230" w:line="360" w:lineRule="auto"/>
        <w:ind w:left="709"/>
        <w:jc w:val="both"/>
        <w:rPr>
          <w:rFonts w:ascii="Arial" w:eastAsia="Arial" w:hAnsi="Arial" w:cs="Arial"/>
        </w:rPr>
      </w:pPr>
      <w:r>
        <w:rPr>
          <w:rFonts w:ascii="Arial" w:eastAsia="Arial" w:hAnsi="Arial" w:cs="Arial"/>
        </w:rPr>
        <w:t>(c) Relevant UK Auction Index means one of the following indices, as offered to and agreed by the Authority in accordance with paragraph 4.3.1.a:</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 N2EX Day Ahead Auction index; or</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 APX Day Ahead Auction Index; or</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(iii) (a) where either of the above indices: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(A) are no longer published;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no longer reflect the market price of electricity; or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a more suitable index that has become available,</w:t>
      </w:r>
    </w:p>
    <w:p w:rsidR="00AF194D" w:rsidRDefault="00AF53A3">
      <w:pPr>
        <w:spacing w:after="230" w:line="360" w:lineRule="auto"/>
        <w:ind w:left="709"/>
        <w:jc w:val="both"/>
        <w:rPr>
          <w:rFonts w:ascii="Arial" w:eastAsia="Arial" w:hAnsi="Arial" w:cs="Arial"/>
        </w:rPr>
      </w:pPr>
      <w:r>
        <w:rPr>
          <w:rFonts w:ascii="Arial" w:eastAsia="Arial" w:hAnsi="Arial" w:cs="Arial"/>
          <w:color w:val="222222"/>
          <w:highlight w:val="white"/>
        </w:rPr>
        <w:t>the Parties shall discuss and seek to agree, each acting reasonably, a replacement for the relevant index, which shall take effect from the point a variation confirming the replacement has been agreed by both Parties (or is determined under the Dispute resolution mechanism in Clause 16) as most closely resembling the index that has been subject to paragraphs (a), (b) or (c) above . In the interim, the Supplier shall, acting in good faith, apply such index as most closely reflects the index that has become subject to (a), (b) or (c) above.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CUSTOMER SITE SPECIFIC INFORMATION</w:t>
      </w:r>
    </w:p>
    <w:p w:rsidR="00AF194D" w:rsidRDefault="00AF53A3">
      <w:pPr>
        <w:keepNext/>
        <w:numPr>
          <w:ilvl w:val="1"/>
          <w:numId w:val="5"/>
        </w:numPr>
        <w:spacing w:after="230" w:line="360" w:lineRule="auto"/>
        <w:jc w:val="both"/>
      </w:pPr>
      <w:r>
        <w:rPr>
          <w:rFonts w:ascii="Arial" w:eastAsia="Arial" w:hAnsi="Arial" w:cs="Arial"/>
        </w:rPr>
        <w:t xml:space="preserve">As soon as reasonably practicable after the: </w:t>
      </w:r>
    </w:p>
    <w:p w:rsidR="00AF194D" w:rsidRDefault="00AF53A3">
      <w:pPr>
        <w:numPr>
          <w:ilvl w:val="2"/>
          <w:numId w:val="5"/>
        </w:numPr>
        <w:tabs>
          <w:tab w:val="left" w:pos="1418"/>
        </w:tabs>
        <w:spacing w:after="230" w:line="360" w:lineRule="auto"/>
        <w:ind w:left="1418"/>
        <w:jc w:val="both"/>
      </w:pPr>
      <w:r>
        <w:rPr>
          <w:rFonts w:ascii="Arial" w:eastAsia="Arial" w:hAnsi="Arial" w:cs="Arial"/>
        </w:rPr>
        <w:t>Commencement Date the Authority shall notify the Supplier of Customer Site Specific Information for Existing Customers; and</w:t>
      </w:r>
    </w:p>
    <w:p w:rsidR="00AF194D" w:rsidRDefault="00AF53A3">
      <w:pPr>
        <w:numPr>
          <w:ilvl w:val="2"/>
          <w:numId w:val="5"/>
        </w:numPr>
        <w:tabs>
          <w:tab w:val="left" w:pos="1418"/>
        </w:tabs>
        <w:spacing w:after="230" w:line="360" w:lineRule="auto"/>
        <w:ind w:left="1418"/>
        <w:jc w:val="both"/>
      </w:pPr>
      <w:r>
        <w:rPr>
          <w:rFonts w:ascii="Arial" w:eastAsia="Arial" w:hAnsi="Arial" w:cs="Arial"/>
        </w:rPr>
        <w:t>date of execution of a Customer Access Agreement the Authority shall notify the Supplier of the Customer Site Specific Information for the relevant Customer,</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save, in each case, to the extent that the Supplier already has that information.</w:t>
      </w:r>
    </w:p>
    <w:p w:rsidR="00AF194D" w:rsidRDefault="00AF53A3">
      <w:pPr>
        <w:keepNext/>
        <w:numPr>
          <w:ilvl w:val="1"/>
          <w:numId w:val="5"/>
        </w:numPr>
        <w:spacing w:after="230" w:line="360" w:lineRule="auto"/>
        <w:jc w:val="both"/>
      </w:pPr>
      <w:r>
        <w:rPr>
          <w:rFonts w:ascii="Arial" w:eastAsia="Arial" w:hAnsi="Arial" w:cs="Arial"/>
        </w:rPr>
        <w:t xml:space="preserve">As soon as is reasonably practicable after receipt of the Customer Site Specific Information pursuant to Paragraph 2.1, the Supplier shall use reasonable endeavours to: </w:t>
      </w:r>
    </w:p>
    <w:p w:rsidR="00AF194D" w:rsidRDefault="00AF53A3">
      <w:pPr>
        <w:numPr>
          <w:ilvl w:val="2"/>
          <w:numId w:val="5"/>
        </w:numPr>
        <w:tabs>
          <w:tab w:val="left" w:pos="1418"/>
        </w:tabs>
        <w:spacing w:after="230" w:line="360" w:lineRule="auto"/>
        <w:ind w:left="1418"/>
        <w:jc w:val="both"/>
      </w:pPr>
      <w:r>
        <w:rPr>
          <w:rFonts w:ascii="Arial" w:eastAsia="Arial" w:hAnsi="Arial" w:cs="Arial"/>
        </w:rPr>
        <w:t>verify and identify any omissions or inaccuracies in the Customer Site Specific Information;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where the Supplier identifies any such omissions or inaccuracies, obtain the missing information and/or rectify the inaccurate information.</w:t>
      </w:r>
    </w:p>
    <w:p w:rsidR="00AF194D" w:rsidRDefault="00AF53A3">
      <w:pPr>
        <w:numPr>
          <w:ilvl w:val="1"/>
          <w:numId w:val="5"/>
        </w:numPr>
        <w:spacing w:after="230" w:line="360" w:lineRule="auto"/>
        <w:jc w:val="both"/>
      </w:pPr>
      <w:r>
        <w:rPr>
          <w:rFonts w:ascii="Arial" w:eastAsia="Arial" w:hAnsi="Arial" w:cs="Arial"/>
        </w:rPr>
        <w:t xml:space="preserve">The Supplier shall provide the Authority with a copy of any information obtained by the Supplier as a result of its compliance with Paragraph 2.2 within 10 Days of receipt, or within such other period notified to the Supplier by the Authority from time to time. </w:t>
      </w:r>
    </w:p>
    <w:p w:rsidR="00AF194D" w:rsidRDefault="00AF53A3">
      <w:pPr>
        <w:keepNext/>
        <w:numPr>
          <w:ilvl w:val="1"/>
          <w:numId w:val="5"/>
        </w:numPr>
        <w:spacing w:after="230" w:line="360" w:lineRule="auto"/>
        <w:jc w:val="both"/>
      </w:pPr>
      <w:r>
        <w:rPr>
          <w:rFonts w:ascii="Arial" w:eastAsia="Arial" w:hAnsi="Arial" w:cs="Arial"/>
        </w:rPr>
        <w:t xml:space="preserve">The Authority may from time to time request the Supplier to provide it with verified Customer Site Specific Information in respect of specific Supply Points. The Supplier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 such Customer Site Specific Information to the Authority within five (5) Days of the Authority’s request; and</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 such assistance to the Authority as it requires in ensuring that the Customer Site Specific Information is accurate and reflects the likely Customer demand.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DETERMINING THE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Shaping Methodology</w:t>
      </w:r>
    </w:p>
    <w:p w:rsidR="00AF194D" w:rsidRDefault="00AF53A3">
      <w:pPr>
        <w:numPr>
          <w:ilvl w:val="1"/>
          <w:numId w:val="5"/>
        </w:numPr>
        <w:spacing w:after="230" w:line="360" w:lineRule="auto"/>
        <w:jc w:val="both"/>
      </w:pPr>
      <w:r>
        <w:rPr>
          <w:rFonts w:ascii="Arial" w:eastAsia="Arial" w:hAnsi="Arial" w:cs="Arial"/>
        </w:rPr>
        <w:t>The Supplier shall, within ten (10) Working Days of the Commencement Date, provide a draft Shaping Methodology for Approval. The Supplier shall keep the Shaping Methodology updated from time to time, in accordance with Good Industry Practice, and any such updated methodology shall also be subject to Approval</w:t>
      </w:r>
    </w:p>
    <w:p w:rsidR="00AF194D" w:rsidRDefault="00AF53A3">
      <w:pPr>
        <w:numPr>
          <w:ilvl w:val="1"/>
          <w:numId w:val="5"/>
        </w:numPr>
        <w:spacing w:after="230" w:line="360" w:lineRule="auto"/>
        <w:jc w:val="both"/>
      </w:pPr>
      <w:r>
        <w:rPr>
          <w:rFonts w:ascii="Arial" w:eastAsia="Arial" w:hAnsi="Arial" w:cs="Arial"/>
        </w:rPr>
        <w:t>The Supplier may not use any revised Shaping Methodology to prepare a Provisional Purchase Shape or a Final Purchase Shape without first obtaining Approval from the Authority.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Provisional Purchase Shapes</w:t>
      </w:r>
    </w:p>
    <w:p w:rsidR="00AF194D" w:rsidRDefault="00AF53A3">
      <w:pPr>
        <w:keepNext/>
        <w:numPr>
          <w:ilvl w:val="1"/>
          <w:numId w:val="5"/>
        </w:numPr>
        <w:spacing w:after="230" w:line="360" w:lineRule="auto"/>
        <w:jc w:val="both"/>
      </w:pPr>
      <w:r>
        <w:rPr>
          <w:rFonts w:ascii="Arial" w:eastAsia="Arial" w:hAnsi="Arial" w:cs="Arial"/>
        </w:rPr>
        <w:t>The Supplier shall use the Customer Site Specific Information to create a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at such time or times as requested by the Authority; and </w:t>
      </w:r>
    </w:p>
    <w:p w:rsidR="00AF194D" w:rsidRDefault="00AF53A3">
      <w:pPr>
        <w:numPr>
          <w:ilvl w:val="2"/>
          <w:numId w:val="5"/>
        </w:numPr>
        <w:tabs>
          <w:tab w:val="left" w:pos="1418"/>
        </w:tabs>
        <w:spacing w:after="230" w:line="360" w:lineRule="auto"/>
        <w:ind w:left="1418"/>
        <w:jc w:val="both"/>
      </w:pPr>
      <w:r>
        <w:rPr>
          <w:rFonts w:ascii="Arial" w:eastAsia="Arial" w:hAnsi="Arial" w:cs="Arial"/>
        </w:rPr>
        <w:t>in any event, within five (5) days following Approval of the Customer Site Specific Information,</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color w:val="000000"/>
        </w:rPr>
      </w:pPr>
      <w:r>
        <w:rPr>
          <w:rFonts w:ascii="Arial" w:eastAsia="Arial" w:hAnsi="Arial" w:cs="Arial"/>
          <w:color w:val="000000"/>
        </w:rPr>
        <w:t>provide the Authority with such Provisional Purchase Shape for Approval.</w:t>
      </w:r>
    </w:p>
    <w:p w:rsidR="00AF194D" w:rsidRDefault="00AF53A3">
      <w:pPr>
        <w:keepNext/>
        <w:numPr>
          <w:ilvl w:val="1"/>
          <w:numId w:val="5"/>
        </w:numPr>
        <w:spacing w:after="230" w:line="360" w:lineRule="auto"/>
        <w:jc w:val="both"/>
      </w:pPr>
      <w:r>
        <w:rPr>
          <w:rFonts w:ascii="Arial" w:eastAsia="Arial" w:hAnsi="Arial" w:cs="Arial"/>
        </w:rPr>
        <w:t>In preparing each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determine its best estimate of the aggregate demand at Supply Points of all Committed Customers for the Electricity Product for each Month in the relevant Supply Year, using: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the Customer Site Specific Information;</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all other relevant information known to the Supplier (and the Supplier shall work pro-actively, in accordance with Good Industry Practice, to ensure that it is aware of relevant information), </w:t>
      </w:r>
    </w:p>
    <w:p w:rsidR="00AF194D" w:rsidRDefault="00AF53A3">
      <w:pPr>
        <w:tabs>
          <w:tab w:val="left" w:pos="1418"/>
        </w:tabs>
        <w:spacing w:after="230" w:line="360" w:lineRule="auto"/>
        <w:ind w:left="1418"/>
        <w:jc w:val="both"/>
        <w:rPr>
          <w:rFonts w:ascii="Arial" w:eastAsia="Arial" w:hAnsi="Arial" w:cs="Arial"/>
        </w:rPr>
      </w:pPr>
      <w:r>
        <w:rPr>
          <w:rFonts w:ascii="Arial" w:eastAsia="Arial" w:hAnsi="Arial" w:cs="Arial"/>
        </w:rPr>
        <w:t>to produce its best estimate;</w:t>
      </w:r>
    </w:p>
    <w:p w:rsidR="00AF194D" w:rsidRDefault="00AF53A3">
      <w:pPr>
        <w:numPr>
          <w:ilvl w:val="2"/>
          <w:numId w:val="5"/>
        </w:numPr>
        <w:tabs>
          <w:tab w:val="left" w:pos="1418"/>
        </w:tabs>
        <w:spacing w:after="230" w:line="360" w:lineRule="auto"/>
        <w:ind w:left="1418"/>
        <w:jc w:val="both"/>
      </w:pPr>
      <w:r>
        <w:rPr>
          <w:rFonts w:ascii="Arial" w:eastAsia="Arial" w:hAnsi="Arial" w:cs="Arial"/>
        </w:rPr>
        <w:t>adjust the estimate upwards to take into account Distribution Losses and Transmission Losses in accordance with the BSC and Good Industry Practice;</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overlay such adjusted aggregate demand (on a Settlement Period-by-Settlement Period basis) with Baseload Blocks and Peakload Blocks for each Month of the relevant Supply Year. The amounts by which such Contract Blocks exceed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Unfix</w:t>
      </w:r>
      <w:r>
        <w:rPr>
          <w:rFonts w:ascii="Arial" w:eastAsia="Arial" w:hAnsi="Arial" w:cs="Arial"/>
        </w:rPr>
        <w:t xml:space="preserve"> </w:t>
      </w:r>
      <w:r>
        <w:rPr>
          <w:rFonts w:ascii="Arial" w:eastAsia="Arial" w:hAnsi="Arial" w:cs="Arial"/>
          <w:b/>
        </w:rPr>
        <w:t>Volumes</w:t>
      </w:r>
      <w:r>
        <w:rPr>
          <w:rFonts w:ascii="Arial" w:eastAsia="Arial" w:hAnsi="Arial" w:cs="Arial"/>
        </w:rPr>
        <w:t>”) and the amounts by which such Contract Blocks fall short of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Fix</w:t>
      </w:r>
      <w:r>
        <w:rPr>
          <w:rFonts w:ascii="Arial" w:eastAsia="Arial" w:hAnsi="Arial" w:cs="Arial"/>
        </w:rPr>
        <w:t xml:space="preserve"> </w:t>
      </w:r>
      <w:r>
        <w:rPr>
          <w:rFonts w:ascii="Arial" w:eastAsia="Arial" w:hAnsi="Arial" w:cs="Arial"/>
          <w:b/>
        </w:rPr>
        <w:t>Volumes</w:t>
      </w:r>
      <w:r>
        <w:rPr>
          <w:rFonts w:ascii="Arial" w:eastAsia="Arial" w:hAnsi="Arial" w:cs="Arial"/>
        </w:rPr>
        <w:t xml:space="preserve">”);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in determining the Contract Blocks referred to in Paragraph 3.4.3, take into account any reasonable requests of the Authority and shall otherwise seek (insofar as reasonably practicable) to: </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minimise Residual Volumes (including, without limitation by using Contract Blocks of a minimum of zero point one (0.1) MW); and</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ensure that the Residual Fix Volumes, minus the Residual Unfix Volumes, results in a total as close as possible to zero; and</w:t>
      </w:r>
    </w:p>
    <w:p w:rsidR="00AF194D" w:rsidRDefault="00AF53A3">
      <w:pPr>
        <w:numPr>
          <w:ilvl w:val="2"/>
          <w:numId w:val="5"/>
        </w:numPr>
        <w:tabs>
          <w:tab w:val="left" w:pos="1418"/>
        </w:tabs>
        <w:spacing w:after="230" w:line="360" w:lineRule="auto"/>
        <w:ind w:left="1418"/>
        <w:jc w:val="both"/>
      </w:pPr>
      <w:r>
        <w:rPr>
          <w:rFonts w:ascii="Arial" w:eastAsia="Arial" w:hAnsi="Arial" w:cs="Arial"/>
        </w:rPr>
        <w:t>ensure that it is in accordance with the Shaping Methodology.</w:t>
      </w:r>
    </w:p>
    <w:p w:rsidR="00AF194D" w:rsidRDefault="00AF53A3">
      <w:pPr>
        <w:keepNext/>
        <w:numPr>
          <w:ilvl w:val="1"/>
          <w:numId w:val="5"/>
        </w:numPr>
        <w:spacing w:after="230" w:line="360" w:lineRule="auto"/>
        <w:jc w:val="both"/>
      </w:pPr>
      <w:r>
        <w:rPr>
          <w:rFonts w:ascii="Arial" w:eastAsia="Arial" w:hAnsi="Arial" w:cs="Arial"/>
        </w:rPr>
        <w:t xml:space="preserve">The Supplier shall pro-actively keep the Customer Site Specific Information under review, and shall (with the Approval of the Authority, not to be unreasonably withheld or delayed) update it and create a new Provisional Purchase Shape where necessary or appropriate, including to take into account the following: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provision of an updated Site List by the Authority;</w:t>
      </w:r>
    </w:p>
    <w:p w:rsidR="00AF194D" w:rsidRDefault="00AF53A3">
      <w:pPr>
        <w:numPr>
          <w:ilvl w:val="2"/>
          <w:numId w:val="5"/>
        </w:numPr>
        <w:tabs>
          <w:tab w:val="left" w:pos="1418"/>
        </w:tabs>
        <w:spacing w:after="230" w:line="360" w:lineRule="auto"/>
        <w:ind w:left="1418"/>
        <w:jc w:val="both"/>
      </w:pPr>
      <w:r>
        <w:rPr>
          <w:rFonts w:ascii="Arial" w:eastAsia="Arial" w:hAnsi="Arial" w:cs="Arial"/>
        </w:rPr>
        <w:t>Supply Point additions and withdrawals;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updated electricity consumption data; and </w:t>
      </w:r>
    </w:p>
    <w:p w:rsidR="00AF194D" w:rsidRDefault="00AF53A3">
      <w:pPr>
        <w:numPr>
          <w:ilvl w:val="2"/>
          <w:numId w:val="5"/>
        </w:numPr>
        <w:tabs>
          <w:tab w:val="left" w:pos="1418"/>
        </w:tabs>
        <w:spacing w:after="230" w:line="360" w:lineRule="auto"/>
        <w:ind w:left="1418"/>
        <w:jc w:val="both"/>
      </w:pPr>
      <w:r>
        <w:rPr>
          <w:rFonts w:ascii="Arial" w:eastAsia="Arial" w:hAnsi="Arial" w:cs="Arial"/>
        </w:rPr>
        <w:t>anticipated changes in the total volume or pattern of electricity consumption during the Supply Year.</w:t>
      </w:r>
    </w:p>
    <w:p w:rsidR="00AF194D" w:rsidRDefault="00AF53A3">
      <w:pPr>
        <w:numPr>
          <w:ilvl w:val="2"/>
          <w:numId w:val="5"/>
        </w:numPr>
        <w:tabs>
          <w:tab w:val="left" w:pos="1418"/>
        </w:tabs>
        <w:spacing w:after="230" w:line="360" w:lineRule="auto"/>
        <w:ind w:left="1418"/>
        <w:jc w:val="both"/>
      </w:pPr>
      <w:r>
        <w:rPr>
          <w:rFonts w:ascii="Arial" w:eastAsia="Arial" w:hAnsi="Arial" w:cs="Arial"/>
        </w:rPr>
        <w:t>updated transmission and distribution losses data.</w:t>
      </w:r>
    </w:p>
    <w:p w:rsidR="00AF194D" w:rsidRDefault="00AF53A3">
      <w:pPr>
        <w:numPr>
          <w:ilvl w:val="1"/>
          <w:numId w:val="5"/>
        </w:numPr>
        <w:spacing w:after="230" w:line="360" w:lineRule="auto"/>
        <w:jc w:val="both"/>
      </w:pPr>
      <w:r>
        <w:rPr>
          <w:rFonts w:ascii="Arial" w:eastAsia="Arial" w:hAnsi="Arial" w:cs="Arial"/>
        </w:rPr>
        <w:t>If the Supplier creates an updated Provisional Purchase Shape pursuant to Paragraph 3.5 (or otherwise) the Supplier shall promptly (or within such period as the Authority may specify from time to time) provide the Authority with the updated Provisional Purchase Shape for Approval.</w:t>
      </w:r>
    </w:p>
    <w:p w:rsidR="00AF194D" w:rsidRDefault="00AF194D">
      <w:pPr>
        <w:spacing w:after="230" w:line="360" w:lineRule="auto"/>
        <w:ind w:left="709"/>
        <w:jc w:val="both"/>
        <w:rPr>
          <w:rFonts w:ascii="Arial" w:eastAsia="Arial" w:hAnsi="Arial" w:cs="Arial"/>
          <w:strike/>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Final Purchase Shape</w:t>
      </w:r>
    </w:p>
    <w:p w:rsidR="00AF194D" w:rsidRDefault="00AF53A3">
      <w:pPr>
        <w:numPr>
          <w:ilvl w:val="1"/>
          <w:numId w:val="5"/>
        </w:numPr>
        <w:spacing w:after="230" w:line="360" w:lineRule="auto"/>
        <w:jc w:val="both"/>
      </w:pPr>
      <w:r>
        <w:rPr>
          <w:rFonts w:ascii="Arial" w:eastAsia="Arial" w:hAnsi="Arial" w:cs="Arial"/>
        </w:rPr>
        <w:t>At any time between the relevant Price Setting Round Closing Date and the date which falls one Month before the first Day of the relevant Supply Year, the Supplier will provide to the Authority a Final Purchase Shape for Approval, based on the most up-to-date Customer Site Specific Information at the time (“</w:t>
      </w:r>
      <w:r>
        <w:rPr>
          <w:rFonts w:ascii="Arial" w:eastAsia="Arial" w:hAnsi="Arial" w:cs="Arial"/>
          <w:b/>
        </w:rPr>
        <w:t>Final</w:t>
      </w:r>
      <w:r>
        <w:rPr>
          <w:rFonts w:ascii="Arial" w:eastAsia="Arial" w:hAnsi="Arial" w:cs="Arial"/>
        </w:rPr>
        <w:t xml:space="preserve"> </w:t>
      </w:r>
      <w:r>
        <w:rPr>
          <w:rFonts w:ascii="Arial" w:eastAsia="Arial" w:hAnsi="Arial" w:cs="Arial"/>
          <w:b/>
        </w:rPr>
        <w:t>Purchase</w:t>
      </w:r>
      <w:r>
        <w:rPr>
          <w:rFonts w:ascii="Arial" w:eastAsia="Arial" w:hAnsi="Arial" w:cs="Arial"/>
        </w:rPr>
        <w:t xml:space="preserve"> </w:t>
      </w:r>
      <w:r>
        <w:rPr>
          <w:rFonts w:ascii="Arial" w:eastAsia="Arial" w:hAnsi="Arial" w:cs="Arial"/>
          <w:b/>
        </w:rPr>
        <w:t>Shape</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 xml:space="preserve">The Supplier shall provide Final Purchase Shapes for Approval no later than ten (10) Working Days from receipt of an instruction pursuant to Paragraph 3.7. </w:t>
      </w:r>
    </w:p>
    <w:p w:rsidR="00AF194D" w:rsidRDefault="00AF53A3">
      <w:pPr>
        <w:numPr>
          <w:ilvl w:val="1"/>
          <w:numId w:val="5"/>
        </w:numPr>
        <w:spacing w:after="230" w:line="360" w:lineRule="auto"/>
        <w:jc w:val="both"/>
      </w:pPr>
      <w:r>
        <w:rPr>
          <w:rFonts w:ascii="Arial" w:eastAsia="Arial" w:hAnsi="Arial" w:cs="Arial"/>
        </w:rPr>
        <w:t>The Supplier shall provide Final Purchase Shapes for Approval, pursuant to Paragraph 3.8, in accordance with the methodology and requirements set out in Paragraph 3.4.</w:t>
      </w:r>
    </w:p>
    <w:p w:rsidR="00AF194D" w:rsidRDefault="00AF53A3">
      <w:pPr>
        <w:numPr>
          <w:ilvl w:val="1"/>
          <w:numId w:val="5"/>
        </w:numPr>
        <w:spacing w:after="230" w:line="360" w:lineRule="auto"/>
        <w:jc w:val="both"/>
      </w:pPr>
      <w:r>
        <w:rPr>
          <w:rFonts w:ascii="Arial" w:eastAsia="Arial" w:hAnsi="Arial" w:cs="Arial"/>
        </w:rPr>
        <w:t>With effect from the Price Setting Round Closing Date there will be no additional Committed Customers for that Price Setting Round nor will any Committed Customers leave that Price Setting Round unless: (i) otherwise agreed by the Parties; or (ii) the Customer Contract is terminated with effect from a date between the Price Setting Round Closing Date and the first Day of the relevant Supply Year. If any such termination occurs the Customer may be liable to the Authority, in accordance with the terms of its Customer Access Agreement.</w:t>
      </w:r>
    </w:p>
    <w:p w:rsidR="00AF194D" w:rsidRDefault="00AF53A3">
      <w:pPr>
        <w:numPr>
          <w:ilvl w:val="1"/>
          <w:numId w:val="5"/>
        </w:numPr>
        <w:spacing w:after="230" w:line="360" w:lineRule="auto"/>
        <w:jc w:val="both"/>
      </w:pPr>
      <w:r>
        <w:rPr>
          <w:rFonts w:ascii="Arial" w:eastAsia="Arial" w:hAnsi="Arial" w:cs="Arial"/>
        </w:rPr>
        <w:t>At the point the Final Purchase Shape is approved by the Authority, volume risk passes to the Supplier. The Authority will enter into Transactions to fix the price for the number of Baseload Blocks, Peakload Blocks and the Residual Volume specified in the Final Purchase Shape. Following completion of these Transactions the Supplier will provide a portfolio pricing report to the Authority setting out the Cost of Electricity on a Supply Point by Supply Point basis, and shall provide any reasonable supporting evidence requested by the Authority regarding the determination of those Transactions to fix prices (including the methodology used to translate such prices into a Cost of Electricity for Customers on a Supply Point by Supply Point basis).</w:t>
      </w:r>
    </w:p>
    <w:p w:rsidR="00AF194D" w:rsidRDefault="00AF53A3">
      <w:pPr>
        <w:numPr>
          <w:ilvl w:val="1"/>
          <w:numId w:val="5"/>
        </w:numPr>
        <w:spacing w:after="230" w:line="360" w:lineRule="auto"/>
        <w:jc w:val="both"/>
      </w:pPr>
      <w:bookmarkStart w:id="2" w:name="_30j0zll" w:colFirst="0" w:colLast="0"/>
      <w:bookmarkEnd w:id="2"/>
      <w:r>
        <w:rPr>
          <w:rFonts w:ascii="Arial" w:eastAsia="Arial" w:hAnsi="Arial" w:cs="Arial"/>
        </w:rPr>
        <w:t>If any Energy Product Order is terminated and/or any Customer Contract is terminated, the Parties shall seek to agree such adjustments to the Purchase Shape as may be required to reflect such fact.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bookmarkStart w:id="3" w:name="_1fob9te" w:colFirst="0" w:colLast="0"/>
      <w:bookmarkEnd w:id="3"/>
      <w:r>
        <w:rPr>
          <w:rFonts w:ascii="Arial" w:eastAsia="Arial" w:hAnsi="Arial" w:cs="Arial"/>
          <w:b/>
          <w:i/>
        </w:rPr>
        <w:lastRenderedPageBreak/>
        <w:t>Authority’s right to challenge Purchase Shapes</w:t>
      </w:r>
    </w:p>
    <w:p w:rsidR="00AF194D" w:rsidRDefault="00AF53A3">
      <w:pPr>
        <w:keepNext/>
        <w:numPr>
          <w:ilvl w:val="1"/>
          <w:numId w:val="5"/>
        </w:numPr>
        <w:spacing w:after="230" w:line="360" w:lineRule="auto"/>
        <w:jc w:val="both"/>
      </w:pPr>
      <w:r>
        <w:rPr>
          <w:rFonts w:ascii="Arial" w:eastAsia="Arial" w:hAnsi="Arial" w:cs="Arial"/>
        </w:rPr>
        <w:t>Without prejudice to any other express right of the Authority under this Framework Agreement (including the right to Approve each Provisional Purchase Shape and each Final Purchase Shape):</w:t>
      </w:r>
    </w:p>
    <w:p w:rsidR="00AF194D" w:rsidRDefault="00AF53A3">
      <w:pPr>
        <w:numPr>
          <w:ilvl w:val="2"/>
          <w:numId w:val="5"/>
        </w:numPr>
        <w:tabs>
          <w:tab w:val="left" w:pos="1418"/>
        </w:tabs>
        <w:spacing w:after="230" w:line="360" w:lineRule="auto"/>
        <w:ind w:left="1418"/>
        <w:jc w:val="both"/>
      </w:pPr>
      <w:r>
        <w:rPr>
          <w:rFonts w:ascii="Arial" w:eastAsia="Arial" w:hAnsi="Arial" w:cs="Arial"/>
        </w:rPr>
        <w:t>the Supplier shall respond to any queries raised by the Authority regarding the manner in which a Purchase Shape has been determined and shall provide any reasonable supporting information requested by the Authority regarding the determination of a Purchase Shape. The Supplier shall provide such responses or information within three (3) Working Days after the Authority’s request; and</w:t>
      </w:r>
    </w:p>
    <w:p w:rsidR="00AF194D" w:rsidRDefault="00AF53A3">
      <w:pPr>
        <w:numPr>
          <w:ilvl w:val="2"/>
          <w:numId w:val="5"/>
        </w:numPr>
        <w:tabs>
          <w:tab w:val="left" w:pos="1418"/>
        </w:tabs>
        <w:spacing w:after="230" w:line="360" w:lineRule="auto"/>
        <w:ind w:left="1418"/>
        <w:jc w:val="both"/>
      </w:pPr>
      <w:bookmarkStart w:id="4" w:name="_3znysh7" w:colFirst="0" w:colLast="0"/>
      <w:bookmarkEnd w:id="4"/>
      <w:r>
        <w:rPr>
          <w:rFonts w:ascii="Arial" w:eastAsia="Arial" w:hAnsi="Arial" w:cs="Arial"/>
        </w:rPr>
        <w:t>if any audit pursuant to Clause 6, or responses provided pursuant to Paragraph 3.13.1, demonstrate (in the reasonable opinion of the Authority) that the Supplier has prepared one or more Purchase Shapes in a manner which does not comply with both the Shaping Methodology and the foregoing provisions of this Paragraph 3, the Parties shall use all reasonable endeavours to agree any changes that need to be made to the relevant Purchase Shape. Such changes shall be submitted to the Authority by the Supplier for Approval.</w:t>
      </w:r>
    </w:p>
    <w:p w:rsidR="00AF194D" w:rsidRDefault="00AF53A3">
      <w:pPr>
        <w:numPr>
          <w:ilvl w:val="1"/>
          <w:numId w:val="5"/>
        </w:numPr>
        <w:spacing w:after="230" w:line="360" w:lineRule="auto"/>
        <w:jc w:val="both"/>
      </w:pPr>
      <w:bookmarkStart w:id="5" w:name="_2et92p0" w:colFirst="0" w:colLast="0"/>
      <w:bookmarkEnd w:id="5"/>
      <w:r>
        <w:rPr>
          <w:rFonts w:ascii="Arial" w:eastAsia="Arial" w:hAnsi="Arial" w:cs="Arial"/>
        </w:rPr>
        <w:t>Once Approved the Supplier shall, if the process of Approval has resulted in one or more amendments to the Purchase Shape, promptly provide the Authority with the amended Purchase Shape. The amended Purchase Shape shall be treated as having been provided by the Supplier to the Authority with effect from the date on which the Authority receives the amended, Approved Purchase Shape.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i/>
        </w:rPr>
      </w:pPr>
      <w:r>
        <w:rPr>
          <w:rFonts w:ascii="Arial" w:eastAsia="Arial" w:hAnsi="Arial" w:cs="Arial"/>
        </w:rPr>
        <w:t xml:space="preserve"> </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FIXING PRICES FOR RESIDUAL VOLUMES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Fixing prices for Residual Volumes</w:t>
      </w:r>
    </w:p>
    <w:p w:rsidR="00AF194D" w:rsidRDefault="00AF53A3">
      <w:pPr>
        <w:numPr>
          <w:ilvl w:val="1"/>
          <w:numId w:val="5"/>
        </w:numPr>
        <w:spacing w:after="230" w:line="360" w:lineRule="auto"/>
        <w:jc w:val="both"/>
      </w:pPr>
      <w:r>
        <w:rPr>
          <w:rFonts w:ascii="Arial" w:eastAsia="Arial" w:hAnsi="Arial" w:cs="Arial"/>
        </w:rPr>
        <w:t>The Authority may fix prices for Residual Volumes of each Electricity Product in respect of each Supply Year or in respect of the Trading Periods that comprise that Supply Year (each being, in respect of an Electricity Product, a “</w:t>
      </w:r>
      <w:r>
        <w:rPr>
          <w:rFonts w:ascii="Arial" w:eastAsia="Arial" w:hAnsi="Arial" w:cs="Arial"/>
          <w:b/>
        </w:rPr>
        <w:t>Residual</w:t>
      </w:r>
      <w:r>
        <w:rPr>
          <w:rFonts w:ascii="Arial" w:eastAsia="Arial" w:hAnsi="Arial" w:cs="Arial"/>
        </w:rPr>
        <w:t xml:space="preserve"> </w:t>
      </w:r>
      <w:r>
        <w:rPr>
          <w:rFonts w:ascii="Arial" w:eastAsia="Arial" w:hAnsi="Arial" w:cs="Arial"/>
          <w:b/>
        </w:rPr>
        <w:t>Charge</w:t>
      </w:r>
      <w:r>
        <w:rPr>
          <w:rFonts w:ascii="Arial" w:eastAsia="Arial" w:hAnsi="Arial" w:cs="Arial"/>
        </w:rPr>
        <w:t xml:space="preserve"> </w:t>
      </w:r>
      <w:r>
        <w:rPr>
          <w:rFonts w:ascii="Arial" w:eastAsia="Arial" w:hAnsi="Arial" w:cs="Arial"/>
          <w:b/>
        </w:rPr>
        <w:t>Period</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The Authority may (by telephone, during Trading Hours) request a quotation (“</w:t>
      </w:r>
      <w:r>
        <w:rPr>
          <w:rFonts w:ascii="Arial" w:eastAsia="Arial" w:hAnsi="Arial" w:cs="Arial"/>
          <w:b/>
        </w:rPr>
        <w:t>Residual</w:t>
      </w:r>
      <w:r>
        <w:rPr>
          <w:rFonts w:ascii="Arial" w:eastAsia="Arial" w:hAnsi="Arial" w:cs="Arial"/>
        </w:rPr>
        <w:t xml:space="preserve"> </w:t>
      </w:r>
      <w:r>
        <w:rPr>
          <w:rFonts w:ascii="Arial" w:eastAsia="Arial" w:hAnsi="Arial" w:cs="Arial"/>
          <w:b/>
        </w:rPr>
        <w:t>Volume</w:t>
      </w:r>
      <w:r>
        <w:rPr>
          <w:rFonts w:ascii="Arial" w:eastAsia="Arial" w:hAnsi="Arial" w:cs="Arial"/>
        </w:rPr>
        <w:t xml:space="preserve"> </w:t>
      </w:r>
      <w:r>
        <w:rPr>
          <w:rFonts w:ascii="Arial" w:eastAsia="Arial" w:hAnsi="Arial" w:cs="Arial"/>
          <w:b/>
        </w:rPr>
        <w:t>Quotation</w:t>
      </w:r>
      <w:r>
        <w:rPr>
          <w:rFonts w:ascii="Arial" w:eastAsia="Arial" w:hAnsi="Arial" w:cs="Arial"/>
        </w:rPr>
        <w:t xml:space="preserve">”) to fix prices for all or part of the Residual Volume for a Residual Charge Period at any time (and on as many occasions as it reasonably requires) following the agreement of the Final Purchase Shape for the relevant Energy Product. </w:t>
      </w:r>
      <w:r>
        <w:rPr>
          <w:rFonts w:ascii="Arial" w:eastAsia="Arial" w:hAnsi="Arial" w:cs="Arial"/>
        </w:rPr>
        <w:lastRenderedPageBreak/>
        <w:t>The Authority may choose to reconcile the Residual Volume in accordance with paragraph 9.20.a.</w:t>
      </w:r>
    </w:p>
    <w:p w:rsidR="00AF194D" w:rsidRDefault="00AF53A3">
      <w:pPr>
        <w:keepNext/>
        <w:numPr>
          <w:ilvl w:val="1"/>
          <w:numId w:val="5"/>
        </w:numPr>
        <w:spacing w:after="230" w:line="360" w:lineRule="auto"/>
        <w:jc w:val="both"/>
      </w:pPr>
      <w:r>
        <w:rPr>
          <w:rFonts w:ascii="Arial" w:eastAsia="Arial" w:hAnsi="Arial" w:cs="Arial"/>
        </w:rPr>
        <w:t>Where the Authority requests a Residual Volume Quotation the Supplier shall, within one (1) Working Day of receipt of such request, provide the Authority with:</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a Residual Volume Quotation specifying the price at which the Residual Volume can be fixed for that Residual Charge Period, such price (which may be a positive or negative amount) reflecting: </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buy a volume equal to the Residual Fix Volume and for the relevant Residual Charge Period; less</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sell the volume equal to the Residual Unfix Volume; and</w:t>
      </w:r>
    </w:p>
    <w:p w:rsidR="00AF194D" w:rsidRDefault="00AF53A3">
      <w:pPr>
        <w:numPr>
          <w:ilvl w:val="2"/>
          <w:numId w:val="5"/>
        </w:numPr>
        <w:tabs>
          <w:tab w:val="left" w:pos="1418"/>
        </w:tabs>
        <w:spacing w:after="230" w:line="360" w:lineRule="auto"/>
        <w:ind w:left="1418"/>
        <w:jc w:val="both"/>
      </w:pPr>
      <w:r>
        <w:rPr>
          <w:rFonts w:ascii="Arial" w:eastAsia="Arial" w:hAnsi="Arial" w:cs="Arial"/>
        </w:rPr>
        <w:t>reasonable supporting evidence demonstrating the way in which the Supplier has calculated the Residual Volume Quotation including the price for the Residual Fix Volume and the Residual Unfix Volume and, where requested by the Authority, a breakdown of such prices by reference to the Trading Periods and Settlement Periods forming part of the Residual Charge Period; and</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where at the time of requesting the Residual Volume Quotation, the Authority has indicated it requires the Residual Charges to be reconciled in accordance with paragraph 9.20.a, confirmation of the Relevant UK Auction Index that will be applied for Residual Charge reconciliation. </w:t>
      </w:r>
    </w:p>
    <w:p w:rsidR="00AF194D" w:rsidRDefault="00AF53A3">
      <w:pPr>
        <w:numPr>
          <w:ilvl w:val="1"/>
          <w:numId w:val="5"/>
        </w:numPr>
        <w:spacing w:after="230" w:line="360" w:lineRule="auto"/>
        <w:jc w:val="both"/>
      </w:pPr>
      <w:r>
        <w:rPr>
          <w:rFonts w:ascii="Arial" w:eastAsia="Arial" w:hAnsi="Arial" w:cs="Arial"/>
        </w:rPr>
        <w:t>Without limiting any of the Supplier’s specific obligations under this Paragraph 4, the Supplier shall promptly respond to any reasonable queries or requests for further supporting information made by the Authority in respect of a Residual Volume Quotation.</w:t>
      </w:r>
    </w:p>
    <w:p w:rsidR="00AF194D" w:rsidRDefault="00AF53A3">
      <w:pPr>
        <w:numPr>
          <w:ilvl w:val="1"/>
          <w:numId w:val="5"/>
        </w:numPr>
        <w:spacing w:after="230" w:line="360" w:lineRule="auto"/>
        <w:jc w:val="both"/>
      </w:pPr>
      <w:r>
        <w:rPr>
          <w:rFonts w:ascii="Arial" w:eastAsia="Arial" w:hAnsi="Arial" w:cs="Arial"/>
        </w:rPr>
        <w:t xml:space="preserve">Each Residual Volume Quotation shall remain open for acceptance by the Authority until 16:30 on the Day on which it was received by the Authority unless the Authority agrees, acting reasonably, that significant market movements have occurred since the Residual Volume Quotation was provided. If the Authority agrees that such market movements have occurred the Supplier shall be entitled to withdraw the relevant </w:t>
      </w:r>
      <w:r>
        <w:rPr>
          <w:rFonts w:ascii="Arial" w:eastAsia="Arial" w:hAnsi="Arial" w:cs="Arial"/>
        </w:rPr>
        <w:lastRenderedPageBreak/>
        <w:t>Residual Volume Quotation and, at the request of the Authority, provide a renewed Residual Volume Quotation pursuant to Paragraphs 4.2 to 4.4.</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Default Residual Charges</w:t>
      </w:r>
    </w:p>
    <w:p w:rsidR="00AF194D" w:rsidRDefault="00AF53A3">
      <w:pPr>
        <w:keepNext/>
        <w:numPr>
          <w:ilvl w:val="1"/>
          <w:numId w:val="5"/>
        </w:numPr>
        <w:tabs>
          <w:tab w:val="left" w:pos="1418"/>
        </w:tabs>
        <w:spacing w:after="230" w:line="360" w:lineRule="auto"/>
        <w:jc w:val="both"/>
      </w:pPr>
      <w:r>
        <w:rPr>
          <w:rFonts w:ascii="Arial" w:eastAsia="Arial" w:hAnsi="Arial" w:cs="Arial"/>
        </w:rPr>
        <w:t>If a Residual Charge has not been fixed in accordance with this Paragraph 4 by the relevant Last Fixing Day,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rPr>
      </w:pPr>
      <w:r>
        <w:rPr>
          <w:rFonts w:ascii="Arial" w:eastAsia="Arial" w:hAnsi="Arial" w:cs="Arial"/>
        </w:rPr>
        <w:t>the Residual Charge (which may be a positive or negative amount) shall be deemed to have been fixed, in respect of that Residual Charge Period, at (as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the best wholesale cost of electricity at prevailing market prices at which the Supplier can at that time buy a volume equal to the Residual Fix Volume; less</w:t>
      </w:r>
    </w:p>
    <w:p w:rsidR="00AF194D" w:rsidRDefault="00AF53A3">
      <w:pPr>
        <w:numPr>
          <w:ilvl w:val="2"/>
          <w:numId w:val="5"/>
        </w:numPr>
        <w:tabs>
          <w:tab w:val="left" w:pos="1418"/>
        </w:tabs>
        <w:spacing w:after="230" w:line="360" w:lineRule="auto"/>
        <w:ind w:left="1418"/>
        <w:jc w:val="both"/>
      </w:pPr>
      <w:r>
        <w:rPr>
          <w:rFonts w:ascii="Arial" w:eastAsia="Arial" w:hAnsi="Arial" w:cs="Arial"/>
        </w:rPr>
        <w:t>the best wholesale cost of electricity at prevailing market prices at which the Supplier can at that time sell the volume equal to the Residual Unfix Volume.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General provisions in relation to Residual Volumes</w:t>
      </w:r>
    </w:p>
    <w:p w:rsidR="00AF194D" w:rsidRDefault="00AF53A3">
      <w:pPr>
        <w:numPr>
          <w:ilvl w:val="1"/>
          <w:numId w:val="5"/>
        </w:numPr>
        <w:spacing w:after="230" w:line="360" w:lineRule="auto"/>
        <w:jc w:val="both"/>
      </w:pPr>
      <w:r>
        <w:rPr>
          <w:rFonts w:ascii="Arial" w:eastAsia="Arial" w:hAnsi="Arial" w:cs="Arial"/>
        </w:rPr>
        <w:t>Subject to the operations of paragraph 9.20.b once a price is fixed in respect of Residual Volume (including where it is fixed by reference to a Relevant UK Auction Index) such price cannot be unfixed.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PRICE SETTING ROUNDS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strike/>
          <w:color w:val="000000"/>
        </w:rPr>
      </w:pPr>
      <w:r>
        <w:rPr>
          <w:rFonts w:ascii="Arial" w:eastAsia="Arial" w:hAnsi="Arial" w:cs="Arial"/>
        </w:rPr>
        <w:t>5.1</w:t>
      </w:r>
      <w:r>
        <w:rPr>
          <w:rFonts w:ascii="Arial" w:eastAsia="Arial" w:hAnsi="Arial" w:cs="Arial"/>
        </w:rPr>
        <w:tab/>
      </w:r>
      <w:r>
        <w:rPr>
          <w:rFonts w:ascii="Arial" w:eastAsia="Arial" w:hAnsi="Arial" w:cs="Arial"/>
          <w:color w:val="000000"/>
        </w:rPr>
        <w:t>The Authority may fix and unfix prices for Electricity Products through Price Setting Rounds. Customers will, in accor</w:t>
      </w:r>
      <w:r>
        <w:rPr>
          <w:rFonts w:ascii="Arial" w:eastAsia="Arial" w:hAnsi="Arial" w:cs="Arial"/>
        </w:rPr>
        <w:t>dance with their Energy Product Order,</w:t>
      </w:r>
      <w:r>
        <w:rPr>
          <w:rFonts w:ascii="Arial" w:eastAsia="Arial" w:hAnsi="Arial" w:cs="Arial"/>
          <w:color w:val="000000"/>
        </w:rPr>
        <w:t xml:space="preserve"> normally join or leave Price Setting Rounds prior to specified entry points (each being a (“</w:t>
      </w:r>
      <w:r>
        <w:rPr>
          <w:rFonts w:ascii="Arial" w:eastAsia="Arial" w:hAnsi="Arial" w:cs="Arial"/>
          <w:b/>
          <w:color w:val="000000"/>
        </w:rPr>
        <w:t>Price</w:t>
      </w:r>
      <w:r>
        <w:rPr>
          <w:rFonts w:ascii="Arial" w:eastAsia="Arial" w:hAnsi="Arial" w:cs="Arial"/>
          <w:color w:val="000000"/>
        </w:rPr>
        <w:t xml:space="preserve"> </w:t>
      </w:r>
      <w:r>
        <w:rPr>
          <w:rFonts w:ascii="Arial" w:eastAsia="Arial" w:hAnsi="Arial" w:cs="Arial"/>
          <w:b/>
          <w:color w:val="000000"/>
        </w:rPr>
        <w:t>Setting</w:t>
      </w:r>
      <w:r>
        <w:rPr>
          <w:rFonts w:ascii="Arial" w:eastAsia="Arial" w:hAnsi="Arial" w:cs="Arial"/>
          <w:color w:val="000000"/>
        </w:rPr>
        <w:t xml:space="preserve"> </w:t>
      </w:r>
      <w:r>
        <w:rPr>
          <w:rFonts w:ascii="Arial" w:eastAsia="Arial" w:hAnsi="Arial" w:cs="Arial"/>
          <w:b/>
          <w:color w:val="000000"/>
        </w:rPr>
        <w:t>Round</w:t>
      </w:r>
      <w:r>
        <w:rPr>
          <w:rFonts w:ascii="Arial" w:eastAsia="Arial" w:hAnsi="Arial" w:cs="Arial"/>
          <w:color w:val="000000"/>
        </w:rPr>
        <w:t xml:space="preserve"> </w:t>
      </w:r>
      <w:r>
        <w:rPr>
          <w:rFonts w:ascii="Arial" w:eastAsia="Arial" w:hAnsi="Arial" w:cs="Arial"/>
          <w:b/>
          <w:color w:val="000000"/>
        </w:rPr>
        <w:t>Commitment</w:t>
      </w:r>
      <w:r>
        <w:rPr>
          <w:rFonts w:ascii="Arial" w:eastAsia="Arial" w:hAnsi="Arial" w:cs="Arial"/>
          <w:color w:val="000000"/>
        </w:rPr>
        <w:t xml:space="preserve"> </w:t>
      </w:r>
      <w:r>
        <w:rPr>
          <w:rFonts w:ascii="Arial" w:eastAsia="Arial" w:hAnsi="Arial" w:cs="Arial"/>
          <w:b/>
          <w:color w:val="000000"/>
        </w:rPr>
        <w:t>Point</w:t>
      </w:r>
      <w:r>
        <w:rPr>
          <w:rFonts w:ascii="Arial" w:eastAsia="Arial" w:hAnsi="Arial" w:cs="Arial"/>
          <w:color w:val="000000"/>
        </w:rPr>
        <w:t>”)) as notified by the Authority to the Supplier and Customers from time to time, provided that such Price Setting Round Commitment Points shall in no circumstances be later than the Price Setting Round Closing Date in respect of the relevant Electricity Product and Supply Year. The Authority may from time to time notify the Supplier of additional Committed Customers for that Price Setting Round and/or Committed Customers leaving that Price Setting Round, provided that this is no later than the date on which the Authority instructs the Supplier to provide Final Purchase Shapes for Approval.</w:t>
      </w:r>
    </w:p>
    <w:p w:rsidR="00AF194D" w:rsidRDefault="00AF194D">
      <w:pPr>
        <w:pBdr>
          <w:top w:val="nil"/>
          <w:left w:val="nil"/>
          <w:bottom w:val="nil"/>
          <w:right w:val="nil"/>
          <w:between w:val="nil"/>
        </w:pBdr>
        <w:spacing w:after="230" w:line="360" w:lineRule="auto"/>
        <w:ind w:left="709" w:hanging="709"/>
        <w:jc w:val="both"/>
        <w:rPr>
          <w:rFonts w:ascii="Arial" w:eastAsia="Arial" w:hAnsi="Arial" w:cs="Arial"/>
          <w:strike/>
        </w:rPr>
      </w:pPr>
    </w:p>
    <w:p w:rsidR="00AF194D" w:rsidRDefault="00AF53A3">
      <w:pPr>
        <w:numPr>
          <w:ilvl w:val="0"/>
          <w:numId w:val="5"/>
        </w:numPr>
        <w:spacing w:before="230" w:after="230" w:line="360" w:lineRule="auto"/>
        <w:jc w:val="both"/>
        <w:rPr>
          <w:rFonts w:ascii="Arial" w:eastAsia="Arial" w:hAnsi="Arial" w:cs="Arial"/>
        </w:rPr>
      </w:pPr>
      <w:r>
        <w:rPr>
          <w:rFonts w:ascii="Arial" w:eastAsia="Arial" w:hAnsi="Arial" w:cs="Arial"/>
          <w:b/>
        </w:rPr>
        <w:t>FIXING AND UNFIXING PRICES FOR ELECTRICITY PRODUCTS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Timing of Transactions</w:t>
      </w:r>
    </w:p>
    <w:p w:rsidR="00AF194D" w:rsidRDefault="00AF53A3">
      <w:pPr>
        <w:numPr>
          <w:ilvl w:val="1"/>
          <w:numId w:val="5"/>
        </w:numPr>
        <w:spacing w:after="230" w:line="360" w:lineRule="auto"/>
        <w:jc w:val="both"/>
      </w:pPr>
      <w:r>
        <w:rPr>
          <w:rFonts w:ascii="Arial" w:eastAsia="Arial" w:hAnsi="Arial" w:cs="Arial"/>
        </w:rPr>
        <w:lastRenderedPageBreak/>
        <w:t xml:space="preserve">Prior to receipt of a Provisional Purchase Shape the Authority may, in respect of an Electricity Product, enter into Transactions in respect of such Contract Blocks: </w:t>
      </w:r>
    </w:p>
    <w:p w:rsidR="00AF194D" w:rsidRDefault="00AF53A3">
      <w:pPr>
        <w:numPr>
          <w:ilvl w:val="2"/>
          <w:numId w:val="5"/>
        </w:numPr>
        <w:tabs>
          <w:tab w:val="left" w:pos="1418"/>
        </w:tabs>
        <w:spacing w:after="230" w:line="360" w:lineRule="auto"/>
        <w:ind w:left="1418"/>
        <w:jc w:val="both"/>
      </w:pPr>
      <w:r>
        <w:rPr>
          <w:rFonts w:ascii="Arial" w:eastAsia="Arial" w:hAnsi="Arial" w:cs="Arial"/>
        </w:rPr>
        <w:t>as the Authority reasonably determines is required in respect of that Electricity Product; and</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provided that the aggregate volume represented by such Contract Blocks does not exceed 85% of the aggregate Estimated Annual Consumption of the Committed Customers from time to time for that Electricity Product.</w:t>
      </w:r>
    </w:p>
    <w:p w:rsidR="00AF194D" w:rsidRDefault="00AF53A3">
      <w:pPr>
        <w:numPr>
          <w:ilvl w:val="1"/>
          <w:numId w:val="5"/>
        </w:numPr>
        <w:spacing w:after="230" w:line="360" w:lineRule="auto"/>
        <w:jc w:val="both"/>
      </w:pPr>
      <w:r>
        <w:rPr>
          <w:rFonts w:ascii="Arial" w:eastAsia="Arial" w:hAnsi="Arial" w:cs="Arial"/>
        </w:rPr>
        <w:t>Following Approval of the Purchase Shape for an Electricity Product the Authority may, in respect of an Electricity Product, enter into Transactions in respect of those Contract Blocks specified in the relevant Final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Types of Transaction</w:t>
      </w:r>
    </w:p>
    <w:p w:rsidR="00AF194D" w:rsidRDefault="00AF53A3">
      <w:pPr>
        <w:keepNext/>
        <w:numPr>
          <w:ilvl w:val="1"/>
          <w:numId w:val="5"/>
        </w:numPr>
        <w:spacing w:after="230" w:line="360" w:lineRule="auto"/>
        <w:jc w:val="both"/>
      </w:pPr>
      <w:r>
        <w:rPr>
          <w:rFonts w:ascii="Arial" w:eastAsia="Arial" w:hAnsi="Arial" w:cs="Arial"/>
        </w:rPr>
        <w:t>The Supplier may enter into Transactions with the Authority of the type and format agreed between the Parties, each acting reasonably and taking account of Good Industry Practice from time to time. The format and type of Transactions which the Authority may enter into shall include, as a minimum:</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Instruction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Index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Uniquely Designed Forward Price Index Transaction</w:t>
      </w:r>
    </w:p>
    <w:p w:rsidR="00AF194D" w:rsidRDefault="00AF53A3">
      <w:pPr>
        <w:numPr>
          <w:ilvl w:val="2"/>
          <w:numId w:val="5"/>
        </w:numPr>
        <w:tabs>
          <w:tab w:val="left" w:pos="1418"/>
        </w:tabs>
        <w:spacing w:after="230" w:line="360" w:lineRule="auto"/>
        <w:ind w:left="1418"/>
        <w:jc w:val="both"/>
      </w:pPr>
      <w:r>
        <w:rPr>
          <w:rFonts w:ascii="Arial" w:eastAsia="Arial" w:hAnsi="Arial" w:cs="Arial"/>
        </w:rPr>
        <w:t>Third Party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Default Transaction;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Balance of Month Transactions.</w:t>
      </w:r>
    </w:p>
    <w:p w:rsidR="00AF194D" w:rsidRDefault="00AF53A3">
      <w:pPr>
        <w:keepNext/>
        <w:numPr>
          <w:ilvl w:val="1"/>
          <w:numId w:val="5"/>
        </w:numPr>
        <w:spacing w:after="230" w:line="360" w:lineRule="auto"/>
        <w:jc w:val="both"/>
      </w:pPr>
      <w:r>
        <w:rPr>
          <w:rFonts w:ascii="Arial" w:eastAsia="Arial" w:hAnsi="Arial" w:cs="Arial"/>
        </w:rPr>
        <w:t>The Authority may enter into Transactions (other than Default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by telephone during Trading Hours; </w:t>
      </w:r>
    </w:p>
    <w:p w:rsidR="00AF194D" w:rsidRDefault="00AF53A3">
      <w:pPr>
        <w:numPr>
          <w:ilvl w:val="2"/>
          <w:numId w:val="5"/>
        </w:numPr>
        <w:tabs>
          <w:tab w:val="left" w:pos="1418"/>
        </w:tabs>
        <w:spacing w:after="230" w:line="360" w:lineRule="auto"/>
        <w:ind w:left="1418"/>
        <w:jc w:val="both"/>
      </w:pPr>
      <w:r>
        <w:rPr>
          <w:rFonts w:ascii="Arial" w:eastAsia="Arial" w:hAnsi="Arial" w:cs="Arial"/>
        </w:rPr>
        <w:t>up to forty-two (42) Months in advance of a Supply Month in respect of which the Transaction applies (including beyond the end of the Term); and</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at any time prior to 2pm on the relevant Last Fixing Day.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 xml:space="preserve">Market Transactions </w:t>
      </w:r>
    </w:p>
    <w:p w:rsidR="00AF194D" w:rsidRDefault="00AF53A3">
      <w:pPr>
        <w:keepNext/>
        <w:numPr>
          <w:ilvl w:val="1"/>
          <w:numId w:val="5"/>
        </w:numPr>
        <w:spacing w:after="230" w:line="360" w:lineRule="auto"/>
        <w:jc w:val="both"/>
      </w:pPr>
      <w:r>
        <w:rPr>
          <w:rFonts w:ascii="Arial" w:eastAsia="Arial" w:hAnsi="Arial" w:cs="Arial"/>
        </w:rPr>
        <w:t>The Authority may instruct the Supplier to provide a quotation for the fixing or unfixing of Contract Blocks based on the wholesale electricity markets (“</w:t>
      </w:r>
      <w:r>
        <w:rPr>
          <w:rFonts w:ascii="Arial" w:eastAsia="Arial" w:hAnsi="Arial" w:cs="Arial"/>
          <w:b/>
        </w:rPr>
        <w:t>Market</w:t>
      </w:r>
      <w:r>
        <w:rPr>
          <w:rFonts w:ascii="Arial" w:eastAsia="Arial" w:hAnsi="Arial" w:cs="Arial"/>
        </w:rPr>
        <w:t xml:space="preserve"> </w:t>
      </w:r>
      <w:r>
        <w:rPr>
          <w:rFonts w:ascii="Arial" w:eastAsia="Arial" w:hAnsi="Arial" w:cs="Arial"/>
          <w:b/>
        </w:rPr>
        <w:t>Quotation</w:t>
      </w:r>
      <w:r>
        <w:rPr>
          <w:rFonts w:ascii="Arial" w:eastAsia="Arial" w:hAnsi="Arial" w:cs="Arial"/>
        </w:rPr>
        <w:t>”). In instructing the Supplier to provide a Market Quotation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Market Quotation by reference to their status as Baseload Blocks or Peakload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to be subject to the Market Quotation;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any time limitation within which the price for the Contract Block(s) must be fixed or unfixed (and, if no express limitation is specified, the request for a Market Quotation will be deemed to expire at the end of the Working Day within which the instruction is given).</w:t>
      </w:r>
    </w:p>
    <w:p w:rsidR="00AF194D" w:rsidRDefault="00AF53A3">
      <w:pPr>
        <w:numPr>
          <w:ilvl w:val="1"/>
          <w:numId w:val="5"/>
        </w:numPr>
        <w:spacing w:after="230" w:line="360" w:lineRule="auto"/>
        <w:jc w:val="both"/>
      </w:pPr>
      <w:r>
        <w:rPr>
          <w:rFonts w:ascii="Arial" w:eastAsia="Arial" w:hAnsi="Arial" w:cs="Arial"/>
        </w:rPr>
        <w:t>In providing a Market Quotation the Supplier shall (whilst remaining telephonically connected) quote the best wholesale cost of electricity reasonably attainable by the Supplier at that time for the volume and period in question, by reference to its trade book and bids and offers from brokers.</w:t>
      </w:r>
    </w:p>
    <w:p w:rsidR="00AF194D" w:rsidRDefault="00AF53A3">
      <w:pPr>
        <w:keepNext/>
        <w:numPr>
          <w:ilvl w:val="1"/>
          <w:numId w:val="5"/>
        </w:numPr>
        <w:spacing w:after="230" w:line="360" w:lineRule="auto"/>
        <w:jc w:val="both"/>
      </w:pPr>
      <w:r>
        <w:rPr>
          <w:rFonts w:ascii="Arial" w:eastAsia="Arial" w:hAnsi="Arial" w:cs="Arial"/>
        </w:rPr>
        <w:t xml:space="preserve">The Authority may immediately accept or reject the Market Quotation. If the Authority accepts the Market Quotation: </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of Contract Blocks shall be fixed or unfixed accordingly (“</w:t>
      </w:r>
      <w:r>
        <w:rPr>
          <w:rFonts w:ascii="Arial" w:eastAsia="Arial" w:hAnsi="Arial" w:cs="Arial"/>
          <w:b/>
        </w:rPr>
        <w:t>Market</w:t>
      </w:r>
      <w:r>
        <w:rPr>
          <w:rFonts w:ascii="Arial" w:eastAsia="Arial" w:hAnsi="Arial" w:cs="Arial"/>
        </w:rPr>
        <w:t xml:space="preserve"> </w:t>
      </w:r>
      <w:r>
        <w:rPr>
          <w:rFonts w:ascii="Arial" w:eastAsia="Arial" w:hAnsi="Arial" w:cs="Arial"/>
          <w:b/>
        </w:rPr>
        <w:t>Transaction</w:t>
      </w:r>
      <w:r>
        <w:rPr>
          <w:rFonts w:ascii="Arial" w:eastAsia="Arial" w:hAnsi="Arial" w:cs="Arial"/>
        </w:rPr>
        <w:t xml:space="preserve">”); and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Supplier shall send the Authority an Initial Confirmation.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Instruction Transactions</w:t>
      </w:r>
    </w:p>
    <w:p w:rsidR="00AF194D" w:rsidRDefault="00AF53A3">
      <w:pPr>
        <w:keepNext/>
        <w:numPr>
          <w:ilvl w:val="1"/>
          <w:numId w:val="5"/>
        </w:numPr>
        <w:spacing w:after="230" w:line="360" w:lineRule="auto"/>
        <w:jc w:val="both"/>
      </w:pPr>
      <w:r>
        <w:rPr>
          <w:rFonts w:ascii="Arial" w:eastAsia="Arial" w:hAnsi="Arial" w:cs="Arial"/>
        </w:rPr>
        <w:t>The Authority may place an order with the Supplier to fix or unfix prices for Contract Blocks should such prices become available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Order</w:t>
      </w:r>
      <w:r>
        <w:rPr>
          <w:rFonts w:ascii="Arial" w:eastAsia="Arial" w:hAnsi="Arial" w:cs="Arial"/>
        </w:rPr>
        <w:t>”). In providing a Market Instruction Order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at which the Authority would wish to fix or unfix the price for these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the Contract Blocks to be subject to the Market Instruction Order by reference to their status as Baseload Blocks or Peakload Blocks, and the relevant time period; and</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Market Instruction Order.</w:t>
      </w:r>
    </w:p>
    <w:p w:rsidR="00AF194D" w:rsidRDefault="00AF53A3">
      <w:pPr>
        <w:numPr>
          <w:ilvl w:val="1"/>
          <w:numId w:val="5"/>
        </w:numPr>
        <w:spacing w:after="230" w:line="360" w:lineRule="auto"/>
        <w:jc w:val="both"/>
      </w:pPr>
      <w:r>
        <w:rPr>
          <w:rFonts w:ascii="Arial" w:eastAsia="Arial" w:hAnsi="Arial" w:cs="Arial"/>
        </w:rPr>
        <w:t xml:space="preserve">The Market Instruction Order will remain live until 17:00 on the day it is made, unless changed or withdrawn by the Authority before that time. The Supplier will use its reasonable endeavours to ensure, to the extent that the wholesale market trades at the relevant level (for example, by reference to broker screens or any relevant Index), that each Market Instruction Order is satisfied by fixing or unfixing prices at the relevant level. </w:t>
      </w:r>
    </w:p>
    <w:p w:rsidR="00AF194D" w:rsidRDefault="00AF53A3">
      <w:pPr>
        <w:keepNext/>
        <w:numPr>
          <w:ilvl w:val="1"/>
          <w:numId w:val="5"/>
        </w:numPr>
        <w:spacing w:after="230" w:line="360" w:lineRule="auto"/>
        <w:jc w:val="both"/>
      </w:pPr>
      <w:r>
        <w:rPr>
          <w:rFonts w:ascii="Arial" w:eastAsia="Arial" w:hAnsi="Arial" w:cs="Arial"/>
        </w:rPr>
        <w:t xml:space="preserve">The Supplier will immediately notify the Authority if a Market Instruction Order can be satisfied in which case: </w:t>
      </w:r>
    </w:p>
    <w:p w:rsidR="00AF194D" w:rsidRDefault="00AF53A3">
      <w:pPr>
        <w:numPr>
          <w:ilvl w:val="2"/>
          <w:numId w:val="5"/>
        </w:numPr>
        <w:tabs>
          <w:tab w:val="left" w:pos="1418"/>
        </w:tabs>
        <w:spacing w:after="230" w:line="360" w:lineRule="auto"/>
        <w:ind w:left="1418"/>
        <w:jc w:val="both"/>
      </w:pPr>
      <w:r>
        <w:rPr>
          <w:rFonts w:ascii="Arial" w:eastAsia="Arial" w:hAnsi="Arial" w:cs="Arial"/>
        </w:rPr>
        <w:t>it will become a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Transaction</w:t>
      </w:r>
      <w:r>
        <w:rPr>
          <w:rFonts w:ascii="Arial" w:eastAsia="Arial" w:hAnsi="Arial" w:cs="Arial"/>
        </w:rPr>
        <w:t>”); and</w:t>
      </w:r>
    </w:p>
    <w:p w:rsidR="00AF194D" w:rsidRDefault="00AF53A3">
      <w:pPr>
        <w:numPr>
          <w:ilvl w:val="2"/>
          <w:numId w:val="5"/>
        </w:numPr>
        <w:tabs>
          <w:tab w:val="left" w:pos="1418"/>
        </w:tabs>
        <w:spacing w:after="230" w:line="360" w:lineRule="auto"/>
        <w:ind w:left="1418"/>
        <w:jc w:val="both"/>
      </w:pPr>
      <w:r>
        <w:rPr>
          <w:rFonts w:ascii="Arial" w:eastAsia="Arial" w:hAnsi="Arial" w:cs="Arial"/>
        </w:rPr>
        <w:t>the Supplier will send the Authority an Initial Confirmation.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Index Transactions</w:t>
      </w:r>
    </w:p>
    <w:p w:rsidR="00AF194D" w:rsidRDefault="00AF53A3">
      <w:pPr>
        <w:keepNext/>
        <w:numPr>
          <w:ilvl w:val="1"/>
          <w:numId w:val="5"/>
        </w:numPr>
        <w:spacing w:after="230" w:line="360" w:lineRule="auto"/>
        <w:jc w:val="both"/>
      </w:pPr>
      <w:r>
        <w:rPr>
          <w:rFonts w:ascii="Arial" w:eastAsia="Arial" w:hAnsi="Arial" w:cs="Arial"/>
        </w:rPr>
        <w:t>The Authority may instruct the Supplier to fix or unfix the prices of Contract Blocks based on an Index (“</w:t>
      </w:r>
      <w:r>
        <w:rPr>
          <w:rFonts w:ascii="Arial" w:eastAsia="Arial" w:hAnsi="Arial" w:cs="Arial"/>
          <w:b/>
        </w:rPr>
        <w:t>Index</w:t>
      </w:r>
      <w:r>
        <w:rPr>
          <w:rFonts w:ascii="Arial" w:eastAsia="Arial" w:hAnsi="Arial" w:cs="Arial"/>
        </w:rPr>
        <w:t xml:space="preserve"> </w:t>
      </w:r>
      <w:r>
        <w:rPr>
          <w:rFonts w:ascii="Arial" w:eastAsia="Arial" w:hAnsi="Arial" w:cs="Arial"/>
          <w:b/>
        </w:rPr>
        <w:t>Instruction</w:t>
      </w:r>
      <w:r>
        <w:rPr>
          <w:rFonts w:ascii="Arial" w:eastAsia="Arial" w:hAnsi="Arial" w:cs="Arial"/>
        </w:rPr>
        <w:t>”). In providing an Index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Index Instruction by reference to their status as Baseload Blocks or Peakload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Index Instruction;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Index that is to apply (which may be a Day-Ahead Index or a Forward Index). </w:t>
      </w:r>
    </w:p>
    <w:p w:rsidR="00AF194D" w:rsidRDefault="00AF53A3">
      <w:pPr>
        <w:numPr>
          <w:ilvl w:val="1"/>
          <w:numId w:val="5"/>
        </w:numPr>
        <w:spacing w:after="230" w:line="360" w:lineRule="auto"/>
        <w:jc w:val="both"/>
      </w:pPr>
      <w:r>
        <w:rPr>
          <w:rFonts w:ascii="Arial" w:eastAsia="Arial" w:hAnsi="Arial" w:cs="Arial"/>
        </w:rPr>
        <w:t>The Supplier shall (whilst remaining telephonically connected) confirm such Index Instruction (which shall then be an (“</w:t>
      </w:r>
      <w:r>
        <w:rPr>
          <w:rFonts w:ascii="Arial" w:eastAsia="Arial" w:hAnsi="Arial" w:cs="Arial"/>
          <w:b/>
        </w:rPr>
        <w:t>Index</w:t>
      </w:r>
      <w:r>
        <w:rPr>
          <w:rFonts w:ascii="Arial" w:eastAsia="Arial" w:hAnsi="Arial" w:cs="Arial"/>
        </w:rPr>
        <w:t xml:space="preserve"> </w:t>
      </w:r>
      <w:r>
        <w:rPr>
          <w:rFonts w:ascii="Arial" w:eastAsia="Arial" w:hAnsi="Arial" w:cs="Arial"/>
          <w:b/>
        </w:rPr>
        <w:t>Transaction</w:t>
      </w:r>
      <w:r>
        <w:rPr>
          <w:rFonts w:ascii="Arial" w:eastAsia="Arial" w:hAnsi="Arial" w:cs="Arial"/>
        </w:rPr>
        <w:t>”)) accurately reflecting the Index specified by the Authority pursuant to Paragraph 6.11 and the price of Contract Blocks shall be fixed or unfixed accordingly. The Supplier shall send the Authority an Initial Confirmation.</w:t>
      </w:r>
    </w:p>
    <w:p w:rsidR="00AF194D" w:rsidRDefault="00AF53A3">
      <w:pPr>
        <w:numPr>
          <w:ilvl w:val="1"/>
          <w:numId w:val="5"/>
        </w:numPr>
        <w:spacing w:after="230" w:line="360" w:lineRule="auto"/>
        <w:jc w:val="both"/>
      </w:pPr>
      <w:r>
        <w:rPr>
          <w:rFonts w:ascii="Arial" w:eastAsia="Arial" w:hAnsi="Arial" w:cs="Arial"/>
        </w:rPr>
        <w:t xml:space="preserve">The Authority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not be entitled to fix or unfix the price of Peakload Blocks using the LEBA Day Ahead Index; and</w:t>
      </w:r>
    </w:p>
    <w:p w:rsidR="00AF194D" w:rsidRDefault="00AF53A3">
      <w:pPr>
        <w:numPr>
          <w:ilvl w:val="2"/>
          <w:numId w:val="5"/>
        </w:numPr>
        <w:tabs>
          <w:tab w:val="left" w:pos="1418"/>
        </w:tabs>
        <w:spacing w:after="230" w:line="360" w:lineRule="auto"/>
        <w:ind w:left="1418"/>
        <w:jc w:val="both"/>
      </w:pPr>
      <w:r>
        <w:rPr>
          <w:rFonts w:ascii="Arial" w:eastAsia="Arial" w:hAnsi="Arial" w:cs="Arial"/>
        </w:rPr>
        <w:t>pay the Transaction Fee set out below in respect of each Index Transaction where the Index used in respect of such Index Transaction is a Forward Index but not in the case of use of any Day Ahead Index;</w:t>
      </w:r>
    </w:p>
    <w:p w:rsidR="00AF194D" w:rsidRDefault="00AF194D">
      <w:pPr>
        <w:spacing w:before="120" w:after="0" w:line="240" w:lineRule="auto"/>
        <w:jc w:val="both"/>
        <w:rPr>
          <w:rFonts w:ascii="Arial" w:eastAsia="Arial" w:hAnsi="Arial" w:cs="Arial"/>
        </w:rPr>
      </w:pPr>
    </w:p>
    <w:tbl>
      <w:tblPr>
        <w:tblStyle w:val="a"/>
        <w:tblW w:w="64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4"/>
        <w:gridCol w:w="2044"/>
        <w:gridCol w:w="1219"/>
        <w:gridCol w:w="1050"/>
      </w:tblGrid>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 </w:t>
            </w:r>
          </w:p>
        </w:tc>
        <w:tc>
          <w:tcPr>
            <w:tcW w:w="2044" w:type="dxa"/>
          </w:tcPr>
          <w:p w:rsidR="00AF194D" w:rsidRDefault="00AF53A3">
            <w:pPr>
              <w:spacing w:before="120" w:after="0" w:line="240" w:lineRule="auto"/>
              <w:jc w:val="both"/>
              <w:rPr>
                <w:rFonts w:ascii="Arial" w:eastAsia="Arial" w:hAnsi="Arial" w:cs="Arial"/>
                <w:b/>
              </w:rPr>
            </w:pPr>
            <w:r>
              <w:rPr>
                <w:rFonts w:ascii="Arial" w:eastAsia="Arial" w:hAnsi="Arial" w:cs="Arial"/>
                <w:b/>
              </w:rPr>
              <w:t>Baseload</w:t>
            </w:r>
          </w:p>
          <w:p w:rsidR="00AF194D" w:rsidRDefault="00AF194D">
            <w:pPr>
              <w:spacing w:before="120" w:after="0" w:line="240" w:lineRule="auto"/>
              <w:jc w:val="both"/>
              <w:rPr>
                <w:rFonts w:ascii="Arial" w:eastAsia="Arial" w:hAnsi="Arial" w:cs="Arial"/>
                <w:b/>
              </w:rPr>
            </w:pPr>
          </w:p>
        </w:tc>
        <w:tc>
          <w:tcPr>
            <w:tcW w:w="2269" w:type="dxa"/>
            <w:gridSpan w:val="2"/>
          </w:tcPr>
          <w:p w:rsidR="00AF194D" w:rsidRDefault="00AF53A3">
            <w:pPr>
              <w:spacing w:before="120" w:after="0" w:line="240" w:lineRule="auto"/>
              <w:jc w:val="both"/>
              <w:rPr>
                <w:rFonts w:ascii="Arial" w:eastAsia="Arial" w:hAnsi="Arial" w:cs="Arial"/>
                <w:b/>
              </w:rPr>
            </w:pPr>
            <w:r>
              <w:rPr>
                <w:rFonts w:ascii="Arial" w:eastAsia="Arial" w:hAnsi="Arial" w:cs="Arial"/>
                <w:b/>
              </w:rPr>
              <w:t>Peakload</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Purchase mechanism</w:t>
            </w:r>
          </w:p>
        </w:tc>
        <w:tc>
          <w:tcPr>
            <w:tcW w:w="2044" w:type="dxa"/>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c>
          <w:tcPr>
            <w:tcW w:w="2269" w:type="dxa"/>
            <w:gridSpan w:val="2"/>
            <w:tcMar>
              <w:top w:w="0" w:type="dxa"/>
              <w:left w:w="108" w:type="dxa"/>
              <w:bottom w:w="0" w:type="dxa"/>
              <w:right w:w="108" w:type="dxa"/>
            </w:tcMar>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day-ahead</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Weekend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1219" w:type="dxa"/>
            <w:shd w:val="clear" w:color="auto" w:fill="000000"/>
            <w:tcMar>
              <w:top w:w="0" w:type="dxa"/>
              <w:left w:w="108" w:type="dxa"/>
              <w:bottom w:w="0" w:type="dxa"/>
              <w:right w:w="108" w:type="dxa"/>
            </w:tcMar>
            <w:vAlign w:val="bottom"/>
          </w:tcPr>
          <w:p w:rsidR="00AF194D" w:rsidRDefault="00AF194D">
            <w:pPr>
              <w:spacing w:before="120" w:after="0" w:line="240" w:lineRule="auto"/>
              <w:jc w:val="both"/>
              <w:rPr>
                <w:rFonts w:ascii="Arial" w:eastAsia="Arial" w:hAnsi="Arial" w:cs="Arial"/>
              </w:rPr>
            </w:pPr>
          </w:p>
        </w:tc>
        <w:tc>
          <w:tcPr>
            <w:tcW w:w="1050" w:type="dxa"/>
            <w:shd w:val="clear" w:color="auto" w:fill="000000"/>
          </w:tcPr>
          <w:p w:rsidR="00AF194D" w:rsidRDefault="00AF194D">
            <w:pPr>
              <w:spacing w:before="120" w:after="0" w:line="240" w:lineRule="auto"/>
              <w:jc w:val="both"/>
              <w:rPr>
                <w:rFonts w:ascii="Arial" w:eastAsia="Arial" w:hAnsi="Arial" w:cs="Arial"/>
              </w:rPr>
            </w:pP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lastRenderedPageBreak/>
              <w:t>Trading Season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5</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6</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bl>
    <w:p w:rsidR="00AF194D" w:rsidRDefault="00AF194D">
      <w:pPr>
        <w:tabs>
          <w:tab w:val="left" w:pos="1418"/>
        </w:tabs>
        <w:spacing w:after="230" w:line="360" w:lineRule="auto"/>
        <w:jc w:val="both"/>
        <w:rPr>
          <w:rFonts w:ascii="Arial" w:eastAsia="Arial" w:hAnsi="Arial" w:cs="Arial"/>
        </w:rPr>
      </w:pPr>
    </w:p>
    <w:p w:rsidR="00AF194D" w:rsidRDefault="00AF53A3">
      <w:pPr>
        <w:tabs>
          <w:tab w:val="left" w:pos="1418"/>
        </w:tabs>
        <w:spacing w:after="230" w:line="360" w:lineRule="auto"/>
        <w:jc w:val="both"/>
        <w:rPr>
          <w:rFonts w:ascii="Arial" w:eastAsia="Arial" w:hAnsi="Arial" w:cs="Arial"/>
        </w:rPr>
      </w:pPr>
      <w:r>
        <w:rPr>
          <w:rFonts w:ascii="Arial" w:eastAsia="Arial" w:hAnsi="Arial" w:cs="Arial"/>
        </w:rPr>
        <w:t>In respect of Index Transactions the Authority shall comply with the following restrictions:</w:t>
      </w:r>
    </w:p>
    <w:p w:rsidR="00AF194D" w:rsidRDefault="00AF53A3">
      <w:pPr>
        <w:spacing w:before="60" w:after="60" w:line="360" w:lineRule="auto"/>
        <w:jc w:val="both"/>
        <w:rPr>
          <w:rFonts w:ascii="Arial" w:eastAsia="Arial" w:hAnsi="Arial" w:cs="Arial"/>
        </w:rPr>
      </w:pPr>
      <w:r>
        <w:rPr>
          <w:rFonts w:ascii="Arial" w:eastAsia="Arial" w:hAnsi="Arial" w:cs="Arial"/>
        </w:rPr>
        <w:t xml:space="preserve">Maximum volume of Contract Blocks on the Day Ahead Index (Baseload) in respect of a delivery Month:  200MW </w:t>
      </w:r>
    </w:p>
    <w:p w:rsidR="00AF194D" w:rsidRDefault="00AF53A3">
      <w:pPr>
        <w:spacing w:before="60" w:after="60" w:line="360" w:lineRule="auto"/>
        <w:jc w:val="both"/>
        <w:rPr>
          <w:rFonts w:ascii="Arial" w:eastAsia="Arial" w:hAnsi="Arial" w:cs="Arial"/>
        </w:rPr>
      </w:pPr>
      <w:r>
        <w:rPr>
          <w:rFonts w:ascii="Arial" w:eastAsia="Arial" w:hAnsi="Arial" w:cs="Arial"/>
        </w:rPr>
        <w:t xml:space="preserve">Maximum volume of Contract Blocks on the Day Ahead Index (Peakload) in respect of a delivery Month:  100MW </w:t>
      </w:r>
    </w:p>
    <w:p w:rsidR="00AF194D" w:rsidRDefault="00AF53A3">
      <w:pPr>
        <w:spacing w:before="60" w:after="60" w:line="360" w:lineRule="auto"/>
        <w:jc w:val="both"/>
        <w:rPr>
          <w:rFonts w:ascii="Arial" w:eastAsia="Arial" w:hAnsi="Arial" w:cs="Arial"/>
        </w:rPr>
      </w:pPr>
      <w:r>
        <w:rPr>
          <w:rFonts w:ascii="Arial" w:eastAsia="Arial" w:hAnsi="Arial" w:cs="Arial"/>
        </w:rPr>
        <w:t>Maximum volume of Contract Blocks on a Forward Index (all other cases): 50MW of each product (provided in above table) per Working Day.</w:t>
      </w:r>
    </w:p>
    <w:p w:rsidR="00AF194D" w:rsidRDefault="00AF194D">
      <w:pPr>
        <w:spacing w:before="60" w:after="60" w:line="360" w:lineRule="auto"/>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ab/>
        <w:t xml:space="preserve">The Supplier shall inform the Authority as soon as reasonably practicable if any Index is withdrawn. </w:t>
      </w:r>
    </w:p>
    <w:p w:rsidR="00AF194D" w:rsidRDefault="00AF53A3">
      <w:pPr>
        <w:keepNext/>
        <w:numPr>
          <w:ilvl w:val="1"/>
          <w:numId w:val="5"/>
        </w:numPr>
        <w:spacing w:after="230" w:line="360" w:lineRule="auto"/>
        <w:jc w:val="both"/>
      </w:pPr>
      <w:r>
        <w:rPr>
          <w:rFonts w:ascii="Arial" w:eastAsia="Arial" w:hAnsi="Arial" w:cs="Arial"/>
        </w:rPr>
        <w:t>If an Index:</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is no longer published;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no longer reflects the market price of electricity; or </w:t>
      </w:r>
    </w:p>
    <w:p w:rsidR="00AF194D" w:rsidRDefault="00AF53A3">
      <w:pPr>
        <w:numPr>
          <w:ilvl w:val="2"/>
          <w:numId w:val="5"/>
        </w:numPr>
        <w:tabs>
          <w:tab w:val="left" w:pos="1418"/>
        </w:tabs>
        <w:spacing w:after="230" w:line="360" w:lineRule="auto"/>
        <w:ind w:left="1418"/>
        <w:jc w:val="both"/>
      </w:pPr>
      <w:r>
        <w:rPr>
          <w:rFonts w:ascii="Arial" w:eastAsia="Arial" w:hAnsi="Arial" w:cs="Arial"/>
        </w:rPr>
        <w:t>a more suitable index becomes available,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r>
        <w:rPr>
          <w:rFonts w:ascii="Arial" w:eastAsia="Arial" w:hAnsi="Arial" w:cs="Arial"/>
        </w:rPr>
        <w:t>the Parties shall discuss and seek to agree, each acting reasonably, a replacement for the relevant Index.</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Uniquely Designed Forward Price Index Transactions</w:t>
      </w:r>
    </w:p>
    <w:p w:rsidR="00AF194D" w:rsidRDefault="00AF53A3">
      <w:pPr>
        <w:pBdr>
          <w:top w:val="nil"/>
          <w:left w:val="nil"/>
          <w:bottom w:val="nil"/>
          <w:right w:val="nil"/>
          <w:between w:val="nil"/>
        </w:pBdr>
        <w:spacing w:after="0" w:line="360" w:lineRule="auto"/>
        <w:ind w:firstLine="720"/>
        <w:jc w:val="both"/>
        <w:rPr>
          <w:rFonts w:ascii="Arial" w:eastAsia="Arial" w:hAnsi="Arial" w:cs="Arial"/>
        </w:rPr>
      </w:pPr>
      <w:r>
        <w:rPr>
          <w:rFonts w:ascii="Arial" w:eastAsia="Arial" w:hAnsi="Arial" w:cs="Arial"/>
          <w:color w:val="222222"/>
          <w:highlight w:val="white"/>
        </w:rPr>
        <w:t xml:space="preserve">The Authority may wish to develop options for making Transactions by reference to Indexes. In particular, the Authority may wish to develop an indexation option to be triggered </w:t>
      </w:r>
      <w:r>
        <w:rPr>
          <w:rFonts w:ascii="Arial" w:eastAsia="Arial" w:hAnsi="Arial" w:cs="Arial"/>
          <w:color w:val="222222"/>
          <w:highlight w:val="white"/>
        </w:rPr>
        <w:lastRenderedPageBreak/>
        <w:t>in the event of business continuity issues affecting the Authority’s ability to place orders.  The Supplier agrees to work with the Authority in developing such further options.</w:t>
      </w:r>
    </w:p>
    <w:p w:rsidR="00AF194D" w:rsidRDefault="00AF194D">
      <w:pPr>
        <w:pBdr>
          <w:top w:val="nil"/>
          <w:left w:val="nil"/>
          <w:bottom w:val="nil"/>
          <w:right w:val="nil"/>
          <w:between w:val="nil"/>
        </w:pBdr>
        <w:spacing w:after="0" w:line="360" w:lineRule="auto"/>
        <w:ind w:left="709" w:hanging="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Third Party Transactions </w:t>
      </w:r>
    </w:p>
    <w:p w:rsidR="00AF194D" w:rsidRDefault="00AF53A3">
      <w:pPr>
        <w:keepNext/>
        <w:numPr>
          <w:ilvl w:val="1"/>
          <w:numId w:val="5"/>
        </w:numPr>
        <w:spacing w:after="230" w:line="360" w:lineRule="auto"/>
        <w:jc w:val="both"/>
      </w:pPr>
      <w:r>
        <w:rPr>
          <w:rFonts w:ascii="Arial" w:eastAsia="Arial" w:hAnsi="Arial" w:cs="Arial"/>
          <w:color w:val="222222"/>
          <w:highlight w:val="white"/>
        </w:rPr>
        <w:t>The Authority may instruct the Supplier to endeavour to fix or unfix a price for Contract Blocks which is no less advantageous to the Authority than that offered by a third party (“</w:t>
      </w:r>
      <w:r>
        <w:rPr>
          <w:rFonts w:ascii="Arial" w:eastAsia="Arial" w:hAnsi="Arial" w:cs="Arial"/>
          <w:b/>
          <w:color w:val="222222"/>
          <w:highlight w:val="white"/>
        </w:rPr>
        <w:t>Third</w:t>
      </w:r>
      <w:r>
        <w:rPr>
          <w:rFonts w:ascii="Arial" w:eastAsia="Arial" w:hAnsi="Arial" w:cs="Arial"/>
          <w:color w:val="222222"/>
          <w:highlight w:val="white"/>
        </w:rPr>
        <w:t xml:space="preserve"> </w:t>
      </w:r>
      <w:r>
        <w:rPr>
          <w:rFonts w:ascii="Arial" w:eastAsia="Arial" w:hAnsi="Arial" w:cs="Arial"/>
          <w:b/>
          <w:color w:val="222222"/>
          <w:highlight w:val="white"/>
        </w:rPr>
        <w:t>Party</w:t>
      </w:r>
      <w:r>
        <w:rPr>
          <w:rFonts w:ascii="Arial" w:eastAsia="Arial" w:hAnsi="Arial" w:cs="Arial"/>
          <w:color w:val="222222"/>
          <w:highlight w:val="white"/>
        </w:rPr>
        <w:t xml:space="preserve"> </w:t>
      </w:r>
      <w:r>
        <w:rPr>
          <w:rFonts w:ascii="Arial" w:eastAsia="Arial" w:hAnsi="Arial" w:cs="Arial"/>
          <w:b/>
          <w:color w:val="222222"/>
          <w:highlight w:val="white"/>
        </w:rPr>
        <w:t>Instruction</w:t>
      </w:r>
      <w:r>
        <w:rPr>
          <w:rFonts w:ascii="Arial" w:eastAsia="Arial" w:hAnsi="Arial" w:cs="Arial"/>
          <w:color w:val="222222"/>
          <w:highlight w:val="white"/>
        </w:rPr>
        <w:t>”).</w:t>
      </w:r>
      <w:r>
        <w:rPr>
          <w:rFonts w:ascii="Arial" w:eastAsia="Arial" w:hAnsi="Arial" w:cs="Arial"/>
        </w:rPr>
        <w:t xml:space="preserve"> In providing a Third Party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Third Party Instruction by reference to their status as Baseload Blocks or Peakload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Third Party Instruction;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price at which the Authority believes the proposed counterparty is willing (in the case of fixes) to sell the relevant volume to the Supplier, or (in the case of unfixes) buy the relevant volume from the Supplier under a Third Party GTMA Transaction. </w:t>
      </w:r>
    </w:p>
    <w:p w:rsidR="00AF194D" w:rsidRDefault="00AF53A3">
      <w:pPr>
        <w:numPr>
          <w:ilvl w:val="1"/>
          <w:numId w:val="5"/>
        </w:numPr>
        <w:spacing w:after="230" w:line="360" w:lineRule="auto"/>
        <w:jc w:val="both"/>
      </w:pPr>
      <w:r>
        <w:rPr>
          <w:rFonts w:ascii="Arial" w:eastAsia="Arial" w:hAnsi="Arial" w:cs="Arial"/>
        </w:rPr>
        <w:t>Immediately after receiving a Third Party Instruction the Supplier will (whilst remaining telephonically connected) notify the Authority whether it will match or better the price set out in the Third Party Instruction. In this case prices of the relevant Contract Blocks shall be fixed or unfixed on the basis of the Third Party Instruction.</w:t>
      </w:r>
    </w:p>
    <w:p w:rsidR="00AF194D" w:rsidRDefault="00AF53A3">
      <w:pPr>
        <w:keepNext/>
        <w:numPr>
          <w:ilvl w:val="1"/>
          <w:numId w:val="5"/>
        </w:numPr>
        <w:spacing w:after="230" w:line="360" w:lineRule="auto"/>
        <w:jc w:val="both"/>
      </w:pPr>
      <w:r>
        <w:rPr>
          <w:rFonts w:ascii="Arial" w:eastAsia="Arial" w:hAnsi="Arial" w:cs="Arial"/>
        </w:rPr>
        <w:t>Where the Supplier does not opt to match or better the price set out in the Third Party Instruction, the Authority shall confirm to the Supplier the counterparty proposed by the Authority, and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confirm to the Authority whether or not the proposed counterparty is an Authorised Trading Counterparty; and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if the proposed counterparty is an Authorised Trading Counterparty: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 xml:space="preserve">contact such Authorised Trading Counterparty and offer to enter into a Third Party GTMA Transaction with that Authorised Trading Counterparty for the volumes and at the prices referred to in the Third Party Instruction; and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lastRenderedPageBreak/>
        <w:t>take all reasonable steps necessary to conclude such Third Party GTMA Transaction.</w:t>
      </w:r>
    </w:p>
    <w:p w:rsidR="00AF194D" w:rsidRDefault="00AF53A3">
      <w:pPr>
        <w:numPr>
          <w:ilvl w:val="1"/>
          <w:numId w:val="5"/>
        </w:numPr>
        <w:spacing w:after="230" w:line="360" w:lineRule="auto"/>
        <w:jc w:val="both"/>
      </w:pPr>
      <w:r>
        <w:rPr>
          <w:rFonts w:ascii="Arial" w:eastAsia="Arial" w:hAnsi="Arial" w:cs="Arial"/>
        </w:rPr>
        <w:t>Where the Supplier concludes such a Third Party GTMA Transaction (including any such transaction concluded pursuant to Paragraph 10.5), it shall immediately notify the Authority and the prices of the relevant Contract Blocks shall be fixed or unfixed on the basis of the Third Party GTMA Transaction (and, for the avoidance of doubt, at a price no less favourable to the Authority than that set out in the Third Party Instruction).</w:t>
      </w:r>
    </w:p>
    <w:p w:rsidR="00AF194D" w:rsidRDefault="00AF53A3">
      <w:pPr>
        <w:numPr>
          <w:ilvl w:val="1"/>
          <w:numId w:val="5"/>
        </w:numPr>
        <w:spacing w:after="230" w:line="360" w:lineRule="auto"/>
        <w:jc w:val="both"/>
      </w:pPr>
      <w:r>
        <w:rPr>
          <w:rFonts w:ascii="Arial" w:eastAsia="Arial" w:hAnsi="Arial" w:cs="Arial"/>
        </w:rPr>
        <w:t>Where prices are fixed or unfixed pursuant to Paragraph 6.17 or 6.19 this shall be a (“</w:t>
      </w:r>
      <w:r>
        <w:rPr>
          <w:rFonts w:ascii="Arial" w:eastAsia="Arial" w:hAnsi="Arial" w:cs="Arial"/>
          <w:b/>
        </w:rPr>
        <w:t>Third</w:t>
      </w:r>
      <w:r>
        <w:rPr>
          <w:rFonts w:ascii="Arial" w:eastAsia="Arial" w:hAnsi="Arial" w:cs="Arial"/>
        </w:rPr>
        <w:t xml:space="preserve"> </w:t>
      </w:r>
      <w:r>
        <w:rPr>
          <w:rFonts w:ascii="Arial" w:eastAsia="Arial" w:hAnsi="Arial" w:cs="Arial"/>
          <w:b/>
        </w:rPr>
        <w:t>Party</w:t>
      </w:r>
      <w:r>
        <w:rPr>
          <w:rFonts w:ascii="Arial" w:eastAsia="Arial" w:hAnsi="Arial" w:cs="Arial"/>
        </w:rPr>
        <w:t xml:space="preserve"> </w:t>
      </w:r>
      <w:r>
        <w:rPr>
          <w:rFonts w:ascii="Arial" w:eastAsia="Arial" w:hAnsi="Arial" w:cs="Arial"/>
          <w:b/>
        </w:rPr>
        <w:t>Transaction</w:t>
      </w:r>
      <w:r>
        <w:rPr>
          <w:rFonts w:ascii="Arial" w:eastAsia="Arial" w:hAnsi="Arial" w:cs="Arial"/>
        </w:rPr>
        <w:t>”) and the Supplier shall provide the Authority with an Initial Confirmation pursuant to Paragraph 7.3.</w:t>
      </w:r>
    </w:p>
    <w:p w:rsidR="00AF194D" w:rsidRDefault="00AF53A3">
      <w:pPr>
        <w:numPr>
          <w:ilvl w:val="1"/>
          <w:numId w:val="5"/>
        </w:numPr>
        <w:spacing w:after="230" w:line="360" w:lineRule="auto"/>
        <w:jc w:val="both"/>
      </w:pPr>
      <w:r>
        <w:rPr>
          <w:rFonts w:ascii="Arial" w:eastAsia="Arial" w:hAnsi="Arial" w:cs="Arial"/>
        </w:rPr>
        <w:t>Where the Supplier is unable to conclude such a Third Party GTMA Transaction within one (1) Working Day of receipt of the Third Party Instruction the Supplier shall notify the Authority (which the Authority may verify with the proposed counterparty), and the Supplier shall, without prejudice to the Authority’s rights to submit future instructions, cease to seek to conclude such Third Party GTMA Transaction.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Default Transactions </w:t>
      </w:r>
    </w:p>
    <w:p w:rsidR="00AF194D" w:rsidRDefault="00AF53A3">
      <w:pPr>
        <w:keepNext/>
        <w:numPr>
          <w:ilvl w:val="1"/>
          <w:numId w:val="5"/>
        </w:numPr>
        <w:spacing w:after="230" w:line="360" w:lineRule="auto"/>
        <w:jc w:val="both"/>
      </w:pPr>
      <w:bookmarkStart w:id="6" w:name="_tyjcwt" w:colFirst="0" w:colLast="0"/>
      <w:bookmarkEnd w:id="6"/>
      <w:r>
        <w:rPr>
          <w:rFonts w:ascii="Arial" w:eastAsia="Arial" w:hAnsi="Arial" w:cs="Arial"/>
        </w:rPr>
        <w:t xml:space="preserve">The Supplier shall confirm to the Authority at least ten (10) Working Days prior to the Last Fixing Day for an Electricity Product whether the Authority must fix or unfix prices in order that Peakload Contract Blocks and Baseload Contract Blocks, in respect of which a price is fixed pursuant to this Schedule 3, in each case equal the volumes of </w:t>
      </w:r>
      <w:r>
        <w:rPr>
          <w:rFonts w:ascii="Arial" w:eastAsia="Arial" w:hAnsi="Arial" w:cs="Arial"/>
        </w:rPr>
        <w:lastRenderedPageBreak/>
        <w:t xml:space="preserve">electricity comprised by the  Peakload Contract Blocks and Baseload Contract Blocks set out in the Final Purchase Shape in respect of: </w:t>
      </w:r>
    </w:p>
    <w:p w:rsidR="00AF194D" w:rsidRDefault="00AF53A3">
      <w:pPr>
        <w:keepNext/>
        <w:numPr>
          <w:ilvl w:val="2"/>
          <w:numId w:val="5"/>
        </w:numPr>
        <w:spacing w:after="230" w:line="360" w:lineRule="auto"/>
        <w:jc w:val="both"/>
      </w:pPr>
      <w:r>
        <w:rPr>
          <w:rFonts w:ascii="Arial" w:eastAsia="Arial" w:hAnsi="Arial" w:cs="Arial"/>
        </w:rPr>
        <w:t xml:space="preserve">the relevant Trading Month (in the case of the Variable Product); or </w:t>
      </w:r>
    </w:p>
    <w:p w:rsidR="00AF194D" w:rsidRDefault="00AF53A3">
      <w:pPr>
        <w:keepNext/>
        <w:numPr>
          <w:ilvl w:val="2"/>
          <w:numId w:val="5"/>
        </w:numPr>
        <w:spacing w:after="230" w:line="360" w:lineRule="auto"/>
        <w:jc w:val="both"/>
      </w:pPr>
      <w:r>
        <w:rPr>
          <w:rFonts w:ascii="Arial" w:eastAsia="Arial" w:hAnsi="Arial" w:cs="Arial"/>
        </w:rPr>
        <w:t>each Trading Month during the Supply Year (in the case of the Locked Product),</w:t>
      </w:r>
    </w:p>
    <w:p w:rsidR="00AF194D" w:rsidRDefault="00AF53A3">
      <w:pPr>
        <w:keepNext/>
        <w:spacing w:after="230" w:line="360" w:lineRule="auto"/>
        <w:ind w:left="709"/>
        <w:jc w:val="both"/>
        <w:rPr>
          <w:rFonts w:ascii="Arial" w:eastAsia="Arial" w:hAnsi="Arial" w:cs="Arial"/>
        </w:rPr>
      </w:pPr>
      <w:r>
        <w:rPr>
          <w:rFonts w:ascii="Arial" w:eastAsia="Arial" w:hAnsi="Arial" w:cs="Arial"/>
        </w:rPr>
        <w:t>such state of affairs being (“</w:t>
      </w:r>
      <w:r>
        <w:rPr>
          <w:rFonts w:ascii="Arial" w:eastAsia="Arial" w:hAnsi="Arial" w:cs="Arial"/>
          <w:b/>
        </w:rPr>
        <w:t>Equilibrium</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If, by 15:30 on the Last Fixing Day, Equilibrium has not been achieved the Supplier shall purchase the shortfall or sell the excess number of Contract Blocks necessary to produce Equilibrium. Such sales and purchases shall be at the Default Index price.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Balance of Month Transactions</w:t>
      </w:r>
    </w:p>
    <w:p w:rsidR="00AF194D" w:rsidRDefault="00AF53A3">
      <w:pPr>
        <w:numPr>
          <w:ilvl w:val="1"/>
          <w:numId w:val="5"/>
        </w:numPr>
        <w:spacing w:after="230" w:line="360" w:lineRule="auto"/>
        <w:jc w:val="both"/>
      </w:pPr>
      <w:r>
        <w:rPr>
          <w:rFonts w:ascii="Arial" w:eastAsia="Arial" w:hAnsi="Arial" w:cs="Arial"/>
        </w:rPr>
        <w:t>In respect of any Contract Block, the price of which is fixed by reference to a Day-Ahead Index, the Authority may instruct the Supplier to propose a price for the Balance of Month Period of that Trading Month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Instruction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Following receipt of a Balance of Month Instruction the Supplier shall, whilst remaining telephonically connected, provide to the Authority a fair and reasonable wholesale cost of electricity (having regard to the prices then available in the market for the purchase of such electricity) to fix a price in respect of the Balance of Month Period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Quotation</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The Authorised may immediately accept or reject the Balance of Month Quotation. If the Authority accepts the Balance of Month Quotation:</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prices for Contract Blocks shall be fixed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Transaction</w:t>
      </w:r>
      <w:r>
        <w:rPr>
          <w:rFonts w:ascii="Arial" w:eastAsia="Arial" w:hAnsi="Arial" w:cs="Arial"/>
        </w:rPr>
        <w:t>”) on the basis of the time-weighted average (by reference to the extent of the Balance of Month Period) of:</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simple average of the relevant Index Prices for each Trading Day prior to the start of the Balance of Month Period; and</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accepted fix price; and</w:t>
      </w:r>
    </w:p>
    <w:p w:rsidR="00AF194D" w:rsidRDefault="00AF53A3">
      <w:pPr>
        <w:numPr>
          <w:ilvl w:val="2"/>
          <w:numId w:val="5"/>
        </w:numPr>
        <w:tabs>
          <w:tab w:val="left" w:pos="1418"/>
        </w:tabs>
        <w:spacing w:after="230" w:line="360" w:lineRule="auto"/>
        <w:ind w:left="1418"/>
        <w:jc w:val="both"/>
      </w:pPr>
      <w:r>
        <w:rPr>
          <w:rFonts w:ascii="Arial" w:eastAsia="Arial" w:hAnsi="Arial" w:cs="Arial"/>
        </w:rPr>
        <w:t>the Supplier shall send to the Authority an Initial Confirmation.</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lastRenderedPageBreak/>
        <w:t>Other means of fixing prices for Contract Blocks</w:t>
      </w:r>
    </w:p>
    <w:p w:rsidR="00AF194D" w:rsidRDefault="00AF53A3">
      <w:pPr>
        <w:keepNext/>
        <w:numPr>
          <w:ilvl w:val="1"/>
          <w:numId w:val="5"/>
        </w:numPr>
        <w:spacing w:after="230" w:line="360" w:lineRule="auto"/>
        <w:jc w:val="both"/>
      </w:pPr>
      <w:r>
        <w:rPr>
          <w:rFonts w:ascii="Arial" w:eastAsia="Arial" w:hAnsi="Arial" w:cs="Arial"/>
        </w:rPr>
        <w:t>Prices of Contract Blocks may also be fixed as a result of Direct PPAs, Indirect PPAs and Embedded Generation (as described in Paragraph 11.6).</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GENERAL PROVISIONS IN RELATION TO TRANSACTIONS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Practical arrangements in connection with Transactions</w:t>
      </w:r>
    </w:p>
    <w:p w:rsidR="00AF194D" w:rsidRDefault="00AF53A3">
      <w:pPr>
        <w:numPr>
          <w:ilvl w:val="1"/>
          <w:numId w:val="5"/>
        </w:numPr>
        <w:spacing w:after="230" w:line="360" w:lineRule="auto"/>
        <w:jc w:val="both"/>
      </w:pPr>
      <w:r>
        <w:rPr>
          <w:rFonts w:ascii="Arial" w:eastAsia="Arial" w:hAnsi="Arial" w:cs="Arial"/>
        </w:rPr>
        <w:t>The Supplier shall provide the Authority with telephone numbers in order that the Authority can place orders, give instructions and enter into Transactions. The Supplier shall provide the Authority with at least one (1) Working Day’s prior notice of any changes to these telephone numbers.</w:t>
      </w:r>
    </w:p>
    <w:p w:rsidR="00AF194D" w:rsidRDefault="00AF53A3">
      <w:pPr>
        <w:numPr>
          <w:ilvl w:val="1"/>
          <w:numId w:val="5"/>
        </w:numPr>
        <w:spacing w:after="230" w:line="360" w:lineRule="auto"/>
        <w:jc w:val="both"/>
      </w:pPr>
      <w:r>
        <w:rPr>
          <w:rFonts w:ascii="Arial" w:eastAsia="Arial" w:hAnsi="Arial" w:cs="Arial"/>
        </w:rPr>
        <w:t>The Parties consent to the recording of telephone calls between the Authority and the Supplier made in connection with Transactions and shall do all such things to ensure that the recording of telephone calls is lawful.</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Confirmations</w:t>
      </w:r>
    </w:p>
    <w:p w:rsidR="00AF194D" w:rsidRDefault="00AF53A3">
      <w:pPr>
        <w:numPr>
          <w:ilvl w:val="1"/>
          <w:numId w:val="5"/>
        </w:numPr>
        <w:spacing w:after="230" w:line="360" w:lineRule="auto"/>
        <w:jc w:val="both"/>
      </w:pPr>
      <w:r>
        <w:rPr>
          <w:rFonts w:ascii="Arial" w:eastAsia="Arial" w:hAnsi="Arial" w:cs="Arial"/>
        </w:rPr>
        <w:t>The Supplier will, within 1 (one) Working Day of each Transaction being confirmed, send by email to the Authority (via the Authority's notified email address) a confirmation recording the details of the relevant Transaction (“</w:t>
      </w:r>
      <w:r>
        <w:rPr>
          <w:rFonts w:ascii="Arial" w:eastAsia="Arial" w:hAnsi="Arial" w:cs="Arial"/>
          <w:b/>
        </w:rPr>
        <w:t>Initial</w:t>
      </w:r>
      <w:r>
        <w:rPr>
          <w:rFonts w:ascii="Arial" w:eastAsia="Arial" w:hAnsi="Arial" w:cs="Arial"/>
        </w:rPr>
        <w:t xml:space="preserve"> </w:t>
      </w:r>
      <w:r>
        <w:rPr>
          <w:rFonts w:ascii="Arial" w:eastAsia="Arial" w:hAnsi="Arial" w:cs="Arial"/>
          <w:b/>
        </w:rPr>
        <w:t>Confirmation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If the Authority is not satisfied that the Initial Confirmation accurately reflects the terms of the acceptance, the Authority may inform the Supplier of any inaccuracies within three (3) Working Days from the date of receipt of the Initial Confirmation. The Supplier shall, if it agrees that the Initial Confirmation is inaccurate, issue a revised Initial Confirmation.</w:t>
      </w:r>
    </w:p>
    <w:p w:rsidR="00AF194D" w:rsidRDefault="00AF53A3">
      <w:pPr>
        <w:keepNext/>
        <w:numPr>
          <w:ilvl w:val="1"/>
          <w:numId w:val="5"/>
        </w:numPr>
        <w:spacing w:after="230" w:line="360" w:lineRule="auto"/>
        <w:jc w:val="both"/>
      </w:pPr>
      <w:r>
        <w:rPr>
          <w:rFonts w:ascii="Arial" w:eastAsia="Arial" w:hAnsi="Arial" w:cs="Arial"/>
        </w:rPr>
        <w:t>The Initial Confirmation shall become a (“</w:t>
      </w:r>
      <w:r>
        <w:rPr>
          <w:rFonts w:ascii="Arial" w:eastAsia="Arial" w:hAnsi="Arial" w:cs="Arial"/>
          <w:b/>
        </w:rPr>
        <w:t>Confirmation</w:t>
      </w:r>
      <w:r>
        <w:rPr>
          <w:rFonts w:ascii="Arial" w:eastAsia="Arial" w:hAnsi="Arial" w:cs="Arial"/>
        </w:rPr>
        <w:t xml:space="preserve">”) if the Authority: </w:t>
      </w:r>
    </w:p>
    <w:p w:rsidR="00AF194D" w:rsidRDefault="00AF53A3">
      <w:pPr>
        <w:numPr>
          <w:ilvl w:val="2"/>
          <w:numId w:val="5"/>
        </w:numPr>
        <w:tabs>
          <w:tab w:val="left" w:pos="1418"/>
        </w:tabs>
        <w:spacing w:after="230" w:line="360" w:lineRule="auto"/>
        <w:ind w:left="1418"/>
        <w:jc w:val="both"/>
      </w:pPr>
      <w:r>
        <w:rPr>
          <w:rFonts w:ascii="Arial" w:eastAsia="Arial" w:hAnsi="Arial" w:cs="Arial"/>
        </w:rPr>
        <w:t>fails to notify the Supplier of any inaccuracy in the Initial Confirmation within the period referred to in Paragraph 7.4; or</w:t>
      </w:r>
    </w:p>
    <w:p w:rsidR="00AF194D" w:rsidRDefault="00AF53A3">
      <w:pPr>
        <w:numPr>
          <w:ilvl w:val="2"/>
          <w:numId w:val="5"/>
        </w:numPr>
        <w:tabs>
          <w:tab w:val="left" w:pos="1418"/>
        </w:tabs>
        <w:spacing w:after="230" w:line="360" w:lineRule="auto"/>
        <w:ind w:left="1418"/>
        <w:jc w:val="both"/>
      </w:pPr>
      <w:r>
        <w:rPr>
          <w:rFonts w:ascii="Arial" w:eastAsia="Arial" w:hAnsi="Arial" w:cs="Arial"/>
        </w:rPr>
        <w:t>notifies the Supplier that the Initial Confirmation is accurate.</w:t>
      </w:r>
    </w:p>
    <w:p w:rsidR="00AF194D" w:rsidRDefault="00AF53A3">
      <w:pPr>
        <w:numPr>
          <w:ilvl w:val="1"/>
          <w:numId w:val="5"/>
        </w:numPr>
        <w:spacing w:after="230" w:line="360" w:lineRule="auto"/>
        <w:jc w:val="both"/>
      </w:pPr>
      <w:r>
        <w:rPr>
          <w:rFonts w:ascii="Arial" w:eastAsia="Arial" w:hAnsi="Arial" w:cs="Arial"/>
        </w:rPr>
        <w:t>If the Authority has not received an Initial Confirmation from the Supplier in the timescale referred to in Paragraph 7.3, the Authority may send to the Supplier an Initial Confirmation and Paragraphs 7.3 to 7.5 shall apply, with such changes as are necessary, in relation to such Confirmation by replacing in such Clauses all references to "Authority" with "Supplier" and "Supplier" with "Authority".</w:t>
      </w:r>
    </w:p>
    <w:p w:rsidR="00AF194D" w:rsidRDefault="00AF53A3">
      <w:pPr>
        <w:numPr>
          <w:ilvl w:val="1"/>
          <w:numId w:val="5"/>
        </w:numPr>
        <w:spacing w:after="230" w:line="360" w:lineRule="auto"/>
        <w:jc w:val="both"/>
      </w:pPr>
      <w:r>
        <w:rPr>
          <w:rFonts w:ascii="Arial" w:eastAsia="Arial" w:hAnsi="Arial" w:cs="Arial"/>
        </w:rPr>
        <w:lastRenderedPageBreak/>
        <w:t>Confirmations shall, save in the event of a manifest error, prevail over the Authority's or Supplier's (as appropriate) recorded acceptance in respect of the relevant Transaction. Where the Parties fail to agree the contents of an Initial Confirmation, or if the Supplier fails to provide an Initial Confirmation, the Authority’s recorded acceptance shall prevail.</w:t>
      </w:r>
    </w:p>
    <w:p w:rsidR="00AF194D" w:rsidRDefault="00AF53A3">
      <w:pPr>
        <w:numPr>
          <w:ilvl w:val="1"/>
          <w:numId w:val="5"/>
        </w:numPr>
        <w:spacing w:after="230" w:line="360" w:lineRule="auto"/>
        <w:jc w:val="both"/>
      </w:pPr>
      <w:r>
        <w:rPr>
          <w:rFonts w:ascii="Arial" w:eastAsia="Arial" w:hAnsi="Arial" w:cs="Arial"/>
        </w:rPr>
        <w:t>Failure by either Party to send an Initial Confirmation, or to produce a Confirmation, shall not affect the validity or enforceability of any Transaction or be a material breach of this Framework Agreement.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Trading information</w:t>
      </w:r>
    </w:p>
    <w:p w:rsidR="00AF194D" w:rsidRDefault="00AF53A3">
      <w:pPr>
        <w:numPr>
          <w:ilvl w:val="1"/>
          <w:numId w:val="5"/>
        </w:numPr>
        <w:spacing w:after="230" w:line="360" w:lineRule="auto"/>
        <w:jc w:val="both"/>
      </w:pPr>
      <w:r>
        <w:rPr>
          <w:rFonts w:ascii="Arial" w:eastAsia="Arial" w:hAnsi="Arial" w:cs="Arial"/>
        </w:rPr>
        <w:t>Without prejudice to any of the Supplier’s specific obligations under this Framework Agreement the Supplier will, if it has concerns regarding the amount of electricity in respect of which prices are being fixed or unfixed by the Authority, raise such concerns with the Authority as soon as is reasonably practicable.</w:t>
      </w:r>
    </w:p>
    <w:p w:rsidR="00AF194D" w:rsidRDefault="00AF53A3">
      <w:pPr>
        <w:numPr>
          <w:ilvl w:val="1"/>
          <w:numId w:val="5"/>
        </w:numPr>
        <w:spacing w:after="230" w:line="360" w:lineRule="auto"/>
        <w:jc w:val="both"/>
      </w:pPr>
      <w:r>
        <w:rPr>
          <w:rFonts w:ascii="Arial" w:eastAsia="Arial" w:hAnsi="Arial" w:cs="Arial"/>
        </w:rPr>
        <w:t xml:space="preserve">Other than as part of or in relation to the Services, the Parties acknowledge and agree that the Supplier neither: </w:t>
      </w:r>
    </w:p>
    <w:p w:rsidR="00AF194D" w:rsidRDefault="00AF53A3">
      <w:pPr>
        <w:numPr>
          <w:ilvl w:val="2"/>
          <w:numId w:val="5"/>
        </w:numPr>
        <w:spacing w:after="230" w:line="360" w:lineRule="auto"/>
        <w:ind w:left="1417" w:hanging="705"/>
        <w:jc w:val="both"/>
      </w:pPr>
      <w:r>
        <w:rPr>
          <w:rFonts w:ascii="Arial" w:eastAsia="Arial" w:hAnsi="Arial" w:cs="Arial"/>
        </w:rPr>
        <w:t xml:space="preserve">advises the Authority on when or to what extent the Authority should secure or enter into any Transactions; </w:t>
      </w:r>
    </w:p>
    <w:p w:rsidR="00AF194D" w:rsidRDefault="00AF53A3">
      <w:pPr>
        <w:numPr>
          <w:ilvl w:val="2"/>
          <w:numId w:val="5"/>
        </w:numPr>
        <w:spacing w:after="230" w:line="360" w:lineRule="auto"/>
        <w:ind w:left="1417" w:hanging="705"/>
        <w:jc w:val="both"/>
      </w:pPr>
      <w:r>
        <w:rPr>
          <w:rFonts w:ascii="Arial" w:eastAsia="Arial" w:hAnsi="Arial" w:cs="Arial"/>
        </w:rPr>
        <w:t>accepts liability for the accuracy of any market information or commentary provided by or on behalf of an Affiliated Company of the Supplier; nor</w:t>
      </w:r>
    </w:p>
    <w:p w:rsidR="00AF194D" w:rsidRDefault="00AF53A3">
      <w:pPr>
        <w:numPr>
          <w:ilvl w:val="2"/>
          <w:numId w:val="5"/>
        </w:numPr>
        <w:spacing w:after="230" w:line="360" w:lineRule="auto"/>
        <w:ind w:left="1417" w:hanging="705"/>
        <w:jc w:val="both"/>
      </w:pPr>
      <w:r>
        <w:rPr>
          <w:rFonts w:ascii="Arial" w:eastAsia="Arial" w:hAnsi="Arial" w:cs="Arial"/>
        </w:rPr>
        <w:t>provides investment or transactional advice to the Authority.</w:t>
      </w:r>
    </w:p>
    <w:p w:rsidR="00AF194D" w:rsidRDefault="00AF53A3">
      <w:pPr>
        <w:numPr>
          <w:ilvl w:val="1"/>
          <w:numId w:val="5"/>
        </w:numPr>
        <w:spacing w:after="230" w:line="360" w:lineRule="auto"/>
        <w:jc w:val="both"/>
      </w:pPr>
      <w:r>
        <w:rPr>
          <w:rFonts w:ascii="Arial" w:eastAsia="Arial" w:hAnsi="Arial" w:cs="Arial"/>
        </w:rPr>
        <w:t>The Authority acknowledges that it is aware of the risks associated with purchasing electricity under the terms of the wholesale market access and flexible purchasing arrangements and specifically this Framework Agreement and Schedule 3.</w:t>
      </w:r>
    </w:p>
    <w:p w:rsidR="00AF194D" w:rsidRDefault="00AF53A3">
      <w:pPr>
        <w:numPr>
          <w:ilvl w:val="1"/>
          <w:numId w:val="5"/>
        </w:numPr>
        <w:spacing w:after="230" w:line="360" w:lineRule="auto"/>
        <w:jc w:val="both"/>
      </w:pPr>
      <w:r>
        <w:rPr>
          <w:rFonts w:ascii="Arial" w:eastAsia="Arial" w:hAnsi="Arial" w:cs="Arial"/>
        </w:rPr>
        <w:t>Where the Authority so requests the Supplier shall ensure that the Authority is granted access to broker screens and subscription to reports as described in Schedule 16.</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Disruption Events</w:t>
      </w:r>
    </w:p>
    <w:p w:rsidR="00AF194D" w:rsidRDefault="00AF53A3">
      <w:pPr>
        <w:numPr>
          <w:ilvl w:val="1"/>
          <w:numId w:val="5"/>
        </w:numPr>
        <w:spacing w:after="230" w:line="360" w:lineRule="auto"/>
        <w:jc w:val="both"/>
      </w:pPr>
      <w:r>
        <w:rPr>
          <w:rFonts w:ascii="Arial" w:eastAsia="Arial" w:hAnsi="Arial" w:cs="Arial"/>
        </w:rPr>
        <w:t>If a Party determines in good faith that a Market Disruption Event has occurred in respect of an Index, such Party shall immediately notify the other.</w:t>
      </w:r>
    </w:p>
    <w:p w:rsidR="00AF194D" w:rsidRDefault="00AF53A3">
      <w:pPr>
        <w:numPr>
          <w:ilvl w:val="1"/>
          <w:numId w:val="5"/>
        </w:numPr>
        <w:spacing w:after="230" w:line="360" w:lineRule="auto"/>
        <w:jc w:val="both"/>
      </w:pPr>
      <w:r>
        <w:rPr>
          <w:rFonts w:ascii="Arial" w:eastAsia="Arial" w:hAnsi="Arial" w:cs="Arial"/>
        </w:rPr>
        <w:lastRenderedPageBreak/>
        <w:t>If a Market Disruption Event continues for three (3) Working Days or fewer from and including the Relevant Pricing Date, the Relevant Pricing Date shall be deemed to occur on the first Working Day after cessation of the Market Disruption Event.</w:t>
      </w:r>
    </w:p>
    <w:p w:rsidR="00AF194D" w:rsidRDefault="00AF53A3">
      <w:pPr>
        <w:keepNext/>
        <w:numPr>
          <w:ilvl w:val="1"/>
          <w:numId w:val="5"/>
        </w:numPr>
        <w:spacing w:after="230" w:line="360" w:lineRule="auto"/>
        <w:jc w:val="both"/>
      </w:pPr>
      <w:r>
        <w:rPr>
          <w:rFonts w:ascii="Arial" w:eastAsia="Arial" w:hAnsi="Arial" w:cs="Arial"/>
        </w:rPr>
        <w:t>If a Market Disruption Event continues for more than three (3) Working Days from and including the Relevant Pricing Date:</w:t>
      </w:r>
    </w:p>
    <w:p w:rsidR="00AF194D" w:rsidRDefault="00AF53A3">
      <w:pPr>
        <w:numPr>
          <w:ilvl w:val="2"/>
          <w:numId w:val="5"/>
        </w:numPr>
        <w:tabs>
          <w:tab w:val="left" w:pos="1418"/>
        </w:tabs>
        <w:spacing w:after="230" w:line="360" w:lineRule="auto"/>
        <w:ind w:left="1418"/>
        <w:jc w:val="both"/>
      </w:pPr>
      <w:r>
        <w:rPr>
          <w:rFonts w:ascii="Arial" w:eastAsia="Arial" w:hAnsi="Arial" w:cs="Arial"/>
        </w:rPr>
        <w:t>as soon as reasonably practicable after the occurrence of the Market Disruption Event the Parties shall in good faith seek to agree an alternative price for the affected Contract Blocks. If the Parties agree, the agreed price shall be treated as the price at which the Authority fixed or unfixed the affected Contract Blocks; and</w:t>
      </w:r>
    </w:p>
    <w:p w:rsidR="00AF194D" w:rsidRDefault="00AF53A3">
      <w:pPr>
        <w:numPr>
          <w:ilvl w:val="2"/>
          <w:numId w:val="5"/>
        </w:numPr>
        <w:tabs>
          <w:tab w:val="left" w:pos="1418"/>
        </w:tabs>
        <w:spacing w:after="230" w:line="360" w:lineRule="auto"/>
        <w:ind w:left="1418"/>
        <w:jc w:val="both"/>
      </w:pPr>
      <w:r>
        <w:rPr>
          <w:rFonts w:ascii="Arial" w:eastAsia="Arial" w:hAnsi="Arial" w:cs="Arial"/>
        </w:rPr>
        <w:t>if, within five (5) Working Days of seeking to do so the Parties have failed to agree an alternative price pursuant to Paragraph 7.15.1, the Parties shall seek to agree upon the identity of two (2) dealers (“</w:t>
      </w:r>
      <w:r>
        <w:rPr>
          <w:rFonts w:ascii="Arial" w:eastAsia="Arial" w:hAnsi="Arial" w:cs="Arial"/>
          <w:b/>
        </w:rPr>
        <w:t>Nominated</w:t>
      </w:r>
      <w:r>
        <w:rPr>
          <w:rFonts w:ascii="Arial" w:eastAsia="Arial" w:hAnsi="Arial" w:cs="Arial"/>
        </w:rPr>
        <w:t xml:space="preserve"> </w:t>
      </w:r>
      <w:r>
        <w:rPr>
          <w:rFonts w:ascii="Arial" w:eastAsia="Arial" w:hAnsi="Arial" w:cs="Arial"/>
          <w:b/>
        </w:rPr>
        <w:t>Dealers</w:t>
      </w:r>
      <w:r>
        <w:rPr>
          <w:rFonts w:ascii="Arial" w:eastAsia="Arial" w:hAnsi="Arial" w:cs="Arial"/>
        </w:rPr>
        <w:t>”). The Nominated Dealers shall appoint a third dealer who, with the Nominated Dealers, are referred to as the (“</w:t>
      </w:r>
      <w:r>
        <w:rPr>
          <w:rFonts w:ascii="Arial" w:eastAsia="Arial" w:hAnsi="Arial" w:cs="Arial"/>
          <w:b/>
        </w:rPr>
        <w:t>Adjudicating</w:t>
      </w:r>
      <w:r>
        <w:rPr>
          <w:rFonts w:ascii="Arial" w:eastAsia="Arial" w:hAnsi="Arial" w:cs="Arial"/>
        </w:rPr>
        <w:t xml:space="preserve"> </w:t>
      </w:r>
      <w:r>
        <w:rPr>
          <w:rFonts w:ascii="Arial" w:eastAsia="Arial" w:hAnsi="Arial" w:cs="Arial"/>
          <w:b/>
        </w:rPr>
        <w:t>Dealers</w:t>
      </w:r>
      <w:r>
        <w:rPr>
          <w:rFonts w:ascii="Arial" w:eastAsia="Arial" w:hAnsi="Arial" w:cs="Arial"/>
        </w:rPr>
        <w:t>”). The Parties will procure that the Adjudicating Dealers give a representative price reasonably reflecting conditions prevailing in the wholesale electricity market in Great Britain, and all other relevant considerations, on the Relevant Pricing Date. Such alternative price shall be the arithmetic mean average of the amounts determined by each of the three Adjudicating Dealers and shall be binding and conclusive in the absence of fraud or manifest error.</w:t>
      </w:r>
    </w:p>
    <w:p w:rsidR="00AF194D" w:rsidRDefault="00AF53A3">
      <w:pPr>
        <w:numPr>
          <w:ilvl w:val="1"/>
          <w:numId w:val="5"/>
        </w:numPr>
        <w:spacing w:after="230" w:line="360" w:lineRule="auto"/>
        <w:jc w:val="both"/>
      </w:pPr>
      <w:r>
        <w:rPr>
          <w:rFonts w:ascii="Arial" w:eastAsia="Arial" w:hAnsi="Arial" w:cs="Arial"/>
        </w:rPr>
        <w:t>If the Parties have not agreed upon the appointment of the Nominated Dealer on or before the sixth (6th) Working Day following the decision to appoint them, or there is a failure to obtain at least (2) two quotations within six (6) Working Days of the appointment of the Adjudicating Dealers, the price at which the relevant Index Transaction was fixed or unfixed shall be the prevailing market price.</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Authorised Representatives</w:t>
      </w:r>
    </w:p>
    <w:p w:rsidR="00AF194D" w:rsidRDefault="00AF53A3">
      <w:pPr>
        <w:numPr>
          <w:ilvl w:val="1"/>
          <w:numId w:val="5"/>
        </w:numPr>
        <w:spacing w:after="230" w:line="360" w:lineRule="auto"/>
        <w:jc w:val="both"/>
      </w:pPr>
      <w:r>
        <w:rPr>
          <w:rFonts w:ascii="Arial" w:eastAsia="Arial" w:hAnsi="Arial" w:cs="Arial"/>
        </w:rPr>
        <w:t>The Authority shall notify the Supplier of all persons who are authorised by the Authority (each an (“</w:t>
      </w:r>
      <w:r>
        <w:rPr>
          <w:rFonts w:ascii="Arial" w:eastAsia="Arial" w:hAnsi="Arial" w:cs="Arial"/>
          <w:b/>
        </w:rPr>
        <w:t>Authority Trading Representative</w:t>
      </w:r>
      <w:r>
        <w:rPr>
          <w:rFonts w:ascii="Arial" w:eastAsia="Arial" w:hAnsi="Arial" w:cs="Arial"/>
        </w:rPr>
        <w:t>”)) to give and accept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 xml:space="preserve">The Authority shall notify the Supplier of each new Authority Trading Representative promptly after he or she is authorised.  The Authority shall notify the Supplier of each </w:t>
      </w:r>
      <w:r>
        <w:rPr>
          <w:rFonts w:ascii="Arial" w:eastAsia="Arial" w:hAnsi="Arial" w:cs="Arial"/>
        </w:rPr>
        <w:lastRenderedPageBreak/>
        <w:t>person who ceases to be an Authority Trading Representative promptly after he or she ceases to be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comply with any request or instruction from a person who purports to act on behalf of the Authority if that person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Supplier does not comply with a request or instruction of a person if the Authority had not notified the Supplier that the relevant person was an Authority Trading Representative.</w:t>
      </w:r>
    </w:p>
    <w:p w:rsidR="00AF194D" w:rsidRDefault="00AF53A3">
      <w:pPr>
        <w:numPr>
          <w:ilvl w:val="1"/>
          <w:numId w:val="5"/>
        </w:numPr>
        <w:spacing w:after="230" w:line="360" w:lineRule="auto"/>
        <w:jc w:val="both"/>
      </w:pPr>
      <w:r>
        <w:rPr>
          <w:rFonts w:ascii="Arial" w:eastAsia="Arial" w:hAnsi="Arial" w:cs="Arial"/>
        </w:rPr>
        <w:t xml:space="preserve">The Authority shall not be liable for any losses suffered by the Supplier if the Supplier complies with a request or instruction of a person who is not an Authority Trading Representative. </w:t>
      </w:r>
      <w:r>
        <w:rPr>
          <w:rFonts w:ascii="Arial" w:eastAsia="Arial" w:hAnsi="Arial" w:cs="Arial"/>
          <w:color w:val="222222"/>
          <w:highlight w:val="white"/>
        </w:rPr>
        <w:t>Furthermore the Authority shall not be responsible and bound by the actions of a person who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notify the Authority of all persons who are authorised by the Supplier (each a (“</w:t>
      </w:r>
      <w:r>
        <w:rPr>
          <w:rFonts w:ascii="Arial" w:eastAsia="Arial" w:hAnsi="Arial" w:cs="Arial"/>
          <w:b/>
        </w:rPr>
        <w:t>Supplier Trading Representative</w:t>
      </w:r>
      <w:r>
        <w:rPr>
          <w:rFonts w:ascii="Arial" w:eastAsia="Arial" w:hAnsi="Arial" w:cs="Arial"/>
        </w:rPr>
        <w:t>”)) to give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The Supplier shall notify the Authority of each new Supplier Trading Representative promptly after he or she is authorised. The Supplier shall notify the Authority of each person who ceases to be a Supplier Trading Representative promptly after he or she ceases to be a Supplier Trading Representative.</w:t>
      </w:r>
    </w:p>
    <w:p w:rsidR="00AF194D" w:rsidRDefault="00AF53A3">
      <w:pPr>
        <w:numPr>
          <w:ilvl w:val="1"/>
          <w:numId w:val="5"/>
        </w:numPr>
        <w:spacing w:after="230" w:line="360" w:lineRule="auto"/>
        <w:jc w:val="both"/>
      </w:pPr>
      <w:r>
        <w:rPr>
          <w:rFonts w:ascii="Arial" w:eastAsia="Arial" w:hAnsi="Arial" w:cs="Arial"/>
        </w:rPr>
        <w:t>The Authority shall not comply with any request or instruction from a person who purports to act on behalf of the Supplier if that person is not an Authorised Supplier Representative.</w:t>
      </w:r>
    </w:p>
    <w:p w:rsidR="00AF194D" w:rsidRDefault="00AF53A3">
      <w:pPr>
        <w:numPr>
          <w:ilvl w:val="1"/>
          <w:numId w:val="5"/>
        </w:numPr>
        <w:spacing w:after="230" w:line="360" w:lineRule="auto"/>
        <w:jc w:val="both"/>
      </w:pPr>
      <w:r>
        <w:rPr>
          <w:rFonts w:ascii="Arial" w:eastAsia="Arial" w:hAnsi="Arial" w:cs="Arial"/>
        </w:rPr>
        <w:t>The Authority shall not be liable for any losses suffered by the Supplier if the Authority does not comply with a request or instruction of a person if the Supplier had not notified the Authority that the relevant person was a Supplier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Authority complies with a request or instruction of a person who is not a Supplier Trading Representative.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INTERIM SUPPLIES</w:t>
      </w:r>
    </w:p>
    <w:p w:rsidR="00AF194D" w:rsidRDefault="00AF53A3">
      <w:pPr>
        <w:numPr>
          <w:ilvl w:val="1"/>
          <w:numId w:val="5"/>
        </w:numPr>
        <w:spacing w:after="230" w:line="360" w:lineRule="auto"/>
        <w:jc w:val="both"/>
      </w:pPr>
      <w:r>
        <w:rPr>
          <w:rFonts w:ascii="Arial" w:eastAsia="Arial" w:hAnsi="Arial" w:cs="Arial"/>
        </w:rPr>
        <w:t>For volumes of Interim Supply, the Charges shall be a fixed unit price (“</w:t>
      </w:r>
      <w:r>
        <w:rPr>
          <w:rFonts w:ascii="Arial" w:eastAsia="Arial" w:hAnsi="Arial" w:cs="Arial"/>
          <w:b/>
        </w:rPr>
        <w:t>Interim</w:t>
      </w:r>
      <w:r>
        <w:rPr>
          <w:rFonts w:ascii="Arial" w:eastAsia="Arial" w:hAnsi="Arial" w:cs="Arial"/>
        </w:rPr>
        <w:t xml:space="preserve"> </w:t>
      </w:r>
      <w:r>
        <w:rPr>
          <w:rFonts w:ascii="Arial" w:eastAsia="Arial" w:hAnsi="Arial" w:cs="Arial"/>
          <w:b/>
        </w:rPr>
        <w:t>Price</w:t>
      </w:r>
      <w:r>
        <w:rPr>
          <w:rFonts w:ascii="Arial" w:eastAsia="Arial" w:hAnsi="Arial" w:cs="Arial"/>
        </w:rPr>
        <w:t xml:space="preserve">”) proposed by the Supplier and Approved by the Authority (each acting reasonably and </w:t>
      </w:r>
      <w:r>
        <w:rPr>
          <w:rFonts w:ascii="Arial" w:eastAsia="Arial" w:hAnsi="Arial" w:cs="Arial"/>
        </w:rPr>
        <w:lastRenderedPageBreak/>
        <w:t xml:space="preserve">in accordance with 8.4). The Supplier shall propose a price determined in accordance with Good Industry Practice and comprising a commodity cost consistent with the prevailing wholesale market prices together with the Fixed Daily Charges and the Variable Charges. </w:t>
      </w:r>
    </w:p>
    <w:p w:rsidR="00AF194D" w:rsidRDefault="00AF53A3">
      <w:pPr>
        <w:numPr>
          <w:ilvl w:val="1"/>
          <w:numId w:val="5"/>
        </w:numPr>
        <w:spacing w:after="230" w:line="360" w:lineRule="auto"/>
        <w:jc w:val="both"/>
      </w:pPr>
      <w:r>
        <w:rPr>
          <w:rFonts w:ascii="Arial" w:eastAsia="Arial" w:hAnsi="Arial" w:cs="Arial"/>
        </w:rPr>
        <w:t>The Supplier’s proposed Interim Price shall be accompanied by a detailed breakdown of the elements of the proposed Interim Price (separately identifying the commodity cost, the Fixed Daily Charges and the Variable Charges).</w:t>
      </w:r>
    </w:p>
    <w:p w:rsidR="00AF194D" w:rsidRDefault="00AF53A3">
      <w:pPr>
        <w:numPr>
          <w:ilvl w:val="1"/>
          <w:numId w:val="5"/>
        </w:numPr>
        <w:spacing w:after="230" w:line="360" w:lineRule="auto"/>
        <w:jc w:val="both"/>
      </w:pPr>
      <w:r>
        <w:rPr>
          <w:rFonts w:ascii="Arial" w:eastAsia="Arial" w:hAnsi="Arial" w:cs="Arial"/>
        </w:rPr>
        <w:t>For a Committed Customer wishing to be supplied electricity on an Interim Supply basis, the Parties shall seek to agree, where reasonably practicable, the Interim Price to apply before the start of the Interim Supply Period of that Customer.</w:t>
      </w:r>
    </w:p>
    <w:p w:rsidR="00AF194D" w:rsidRDefault="00AF53A3">
      <w:pPr>
        <w:numPr>
          <w:ilvl w:val="1"/>
          <w:numId w:val="5"/>
        </w:numPr>
        <w:spacing w:after="230" w:line="360" w:lineRule="auto"/>
        <w:jc w:val="both"/>
      </w:pPr>
      <w:r>
        <w:rPr>
          <w:rFonts w:ascii="Arial" w:eastAsia="Arial" w:hAnsi="Arial" w:cs="Arial"/>
        </w:rPr>
        <w:t>The process by which the Supplier shall propose and the Authority shall accept Interim Prices will be confirmed to the Supplier following the Commencement Date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CUSTOMER INVOICING</w:t>
      </w:r>
    </w:p>
    <w:p w:rsidR="00AF194D" w:rsidRDefault="00AF53A3">
      <w:pPr>
        <w:spacing w:after="230" w:line="360" w:lineRule="auto"/>
        <w:ind w:left="709"/>
        <w:jc w:val="both"/>
        <w:rPr>
          <w:rFonts w:ascii="Arial" w:eastAsia="Arial" w:hAnsi="Arial" w:cs="Arial"/>
          <w:b/>
          <w:i/>
        </w:rPr>
      </w:pPr>
      <w:r>
        <w:rPr>
          <w:rFonts w:ascii="Arial" w:eastAsia="Arial" w:hAnsi="Arial" w:cs="Arial"/>
          <w:b/>
        </w:rPr>
        <w:t>Build-up</w:t>
      </w:r>
      <w:r>
        <w:rPr>
          <w:rFonts w:ascii="Arial" w:eastAsia="Arial" w:hAnsi="Arial" w:cs="Arial"/>
          <w:b/>
          <w:i/>
        </w:rPr>
        <w:t xml:space="preserve"> of Customer invoices</w:t>
      </w:r>
    </w:p>
    <w:p w:rsidR="00AF194D" w:rsidRDefault="00AF53A3">
      <w:pPr>
        <w:numPr>
          <w:ilvl w:val="1"/>
          <w:numId w:val="5"/>
        </w:numPr>
        <w:spacing w:after="230" w:line="360" w:lineRule="auto"/>
        <w:jc w:val="both"/>
      </w:pPr>
      <w:r>
        <w:rPr>
          <w:rFonts w:ascii="Arial" w:eastAsia="Arial" w:hAnsi="Arial" w:cs="Arial"/>
        </w:rPr>
        <w:t xml:space="preserve">The Supplier shall invoice the Customer each Month in accordance with the procedures specified by the Customer Contract. The Customer may elect, pursuant to the Customer Contract, for invoicing to be on a Supply Point by Supply Point basis or on an aggregate Supply Point basis. The Invoice Amount shall be comprised of Variable Charges, Fixed Daily Charges and Metering Charges and shall be exclusive of any VAT or other taxes to be paid or reimbursed by the Customer in accordance with the Customer Contract.  </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Variable Charges</w:t>
      </w:r>
    </w:p>
    <w:p w:rsidR="00AF194D" w:rsidRDefault="00AF53A3">
      <w:pPr>
        <w:keepNext/>
        <w:numPr>
          <w:ilvl w:val="1"/>
          <w:numId w:val="5"/>
        </w:numPr>
        <w:spacing w:after="230" w:line="360" w:lineRule="auto"/>
        <w:jc w:val="both"/>
      </w:pPr>
      <w:r>
        <w:rPr>
          <w:rFonts w:ascii="Arial" w:eastAsia="Arial" w:hAnsi="Arial" w:cs="Arial"/>
        </w:rPr>
        <w:t>Variable Charges (pence per kilowatt hour) for each Supply Point at Customer Sites shall comprise: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Cost of Electricity;</w:t>
      </w:r>
    </w:p>
    <w:p w:rsidR="00AF194D" w:rsidRDefault="00AF53A3">
      <w:pPr>
        <w:numPr>
          <w:ilvl w:val="2"/>
          <w:numId w:val="5"/>
        </w:numPr>
        <w:tabs>
          <w:tab w:val="left" w:pos="1418"/>
        </w:tabs>
        <w:spacing w:after="230" w:line="360" w:lineRule="auto"/>
        <w:ind w:left="1418"/>
        <w:jc w:val="both"/>
      </w:pPr>
      <w:r>
        <w:rPr>
          <w:rFonts w:ascii="Arial" w:eastAsia="Arial" w:hAnsi="Arial" w:cs="Arial"/>
        </w:rPr>
        <w:t>data collection charges (being charges payable to Data Collectors and Data Aggregators);</w:t>
      </w:r>
    </w:p>
    <w:p w:rsidR="00AF194D" w:rsidRDefault="00AF53A3">
      <w:pPr>
        <w:numPr>
          <w:ilvl w:val="2"/>
          <w:numId w:val="5"/>
        </w:numPr>
        <w:tabs>
          <w:tab w:val="left" w:pos="1418"/>
        </w:tabs>
        <w:spacing w:after="230" w:line="360" w:lineRule="auto"/>
        <w:ind w:left="1418"/>
        <w:jc w:val="both"/>
      </w:pPr>
      <w:r>
        <w:rPr>
          <w:rFonts w:ascii="Arial" w:eastAsia="Arial" w:hAnsi="Arial" w:cs="Arial"/>
        </w:rPr>
        <w:t>BSUoS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Renewables Obligation costs, being the costs incurred by the Supplier in meeting its obligation under section 32 (and subsequent related sections) of the </w:t>
      </w:r>
      <w:r>
        <w:rPr>
          <w:rFonts w:ascii="Arial" w:eastAsia="Arial" w:hAnsi="Arial" w:cs="Arial"/>
        </w:rPr>
        <w:lastRenderedPageBreak/>
        <w:t>Act, capped at a figure which is an appropriate multiple of the Buy-out Price, reduced by: (i) the discount noted below; and (ii) the monetary value of any Self-Supplied Benefits.</w:t>
      </w:r>
    </w:p>
    <w:tbl>
      <w:tblPr>
        <w:tblStyle w:val="a0"/>
        <w:tblW w:w="2122" w:type="dxa"/>
        <w:tblInd w:w="1508" w:type="dxa"/>
        <w:tblLayout w:type="fixed"/>
        <w:tblLook w:val="0000" w:firstRow="0" w:lastRow="0" w:firstColumn="0" w:lastColumn="0" w:noHBand="0" w:noVBand="0"/>
      </w:tblPr>
      <w:tblGrid>
        <w:gridCol w:w="2122"/>
      </w:tblGrid>
      <w:tr w:rsidR="00AF194D">
        <w:trPr>
          <w:trHeight w:val="300"/>
        </w:trPr>
        <w:tc>
          <w:tcPr>
            <w:tcW w:w="2122" w:type="dxa"/>
            <w:tcBorders>
              <w:top w:val="single" w:sz="4" w:space="0" w:color="000000"/>
              <w:left w:val="single" w:sz="4" w:space="0" w:color="000000"/>
              <w:bottom w:val="single" w:sz="4" w:space="0" w:color="000000"/>
              <w:right w:val="single" w:sz="4" w:space="0" w:color="000000"/>
            </w:tcBorders>
            <w:vAlign w:val="bottom"/>
          </w:tcPr>
          <w:p w:rsidR="00AF194D" w:rsidRDefault="00AF53A3">
            <w:pPr>
              <w:spacing w:after="0" w:line="240" w:lineRule="auto"/>
              <w:rPr>
                <w:rFonts w:ascii="Arial" w:eastAsia="Arial" w:hAnsi="Arial" w:cs="Arial"/>
                <w:b/>
              </w:rPr>
            </w:pPr>
            <w:r>
              <w:rPr>
                <w:rFonts w:ascii="Arial" w:eastAsia="Arial" w:hAnsi="Arial" w:cs="Arial"/>
                <w:b/>
              </w:rPr>
              <w:t>Discount on Published RO (%)</w:t>
            </w:r>
          </w:p>
        </w:tc>
      </w:tr>
      <w:tr w:rsidR="00AF194D">
        <w:trPr>
          <w:trHeight w:val="300"/>
        </w:trPr>
        <w:tc>
          <w:tcPr>
            <w:tcW w:w="2122" w:type="dxa"/>
            <w:tcBorders>
              <w:top w:val="nil"/>
              <w:left w:val="single" w:sz="4" w:space="0" w:color="000000"/>
              <w:bottom w:val="single" w:sz="4" w:space="0" w:color="000000"/>
              <w:right w:val="single" w:sz="4" w:space="0" w:color="000000"/>
            </w:tcBorders>
            <w:shd w:val="clear" w:color="auto" w:fill="FFFFFF"/>
            <w:vAlign w:val="bottom"/>
          </w:tcPr>
          <w:p w:rsidR="00AF194D" w:rsidRDefault="00AF53A3">
            <w:pPr>
              <w:spacing w:after="0" w:line="240" w:lineRule="auto"/>
              <w:rPr>
                <w:rFonts w:ascii="Arial" w:eastAsia="Arial" w:hAnsi="Arial" w:cs="Arial"/>
              </w:rPr>
            </w:pPr>
            <w:r>
              <w:rPr>
                <w:rFonts w:ascii="Arial" w:eastAsia="Arial" w:hAnsi="Arial" w:cs="Arial"/>
              </w:rPr>
              <w:t> [     ]</w:t>
            </w:r>
          </w:p>
        </w:tc>
      </w:tr>
    </w:tbl>
    <w:p w:rsidR="00AF194D" w:rsidRDefault="00AF194D">
      <w:pPr>
        <w:tabs>
          <w:tab w:val="left" w:pos="1418"/>
        </w:tabs>
        <w:spacing w:after="230" w:line="360" w:lineRule="auto"/>
        <w:ind w:left="1418"/>
        <w:jc w:val="both"/>
        <w:rPr>
          <w:rFonts w:ascii="Arial" w:eastAsia="Arial" w:hAnsi="Arial" w:cs="Arial"/>
        </w:rPr>
      </w:pPr>
    </w:p>
    <w:p w:rsidR="00AF194D" w:rsidRDefault="00AF53A3">
      <w:pPr>
        <w:numPr>
          <w:ilvl w:val="2"/>
          <w:numId w:val="5"/>
        </w:numPr>
        <w:tabs>
          <w:tab w:val="left" w:pos="1418"/>
        </w:tabs>
        <w:spacing w:after="230" w:line="360" w:lineRule="auto"/>
        <w:ind w:left="1418"/>
        <w:jc w:val="both"/>
      </w:pPr>
      <w:r>
        <w:rPr>
          <w:rFonts w:ascii="Arial" w:eastAsia="Arial" w:hAnsi="Arial" w:cs="Arial"/>
        </w:rPr>
        <w:t>Feed-in Tariff Costs (being the net costs incurred by the Supplier in meeting its costs in respect of the feed-in tariff introduced pursuant to the Energy Act 2008);</w:t>
      </w:r>
    </w:p>
    <w:p w:rsidR="00AF194D" w:rsidRDefault="00AF53A3">
      <w:pPr>
        <w:numPr>
          <w:ilvl w:val="2"/>
          <w:numId w:val="5"/>
        </w:numPr>
        <w:tabs>
          <w:tab w:val="left" w:pos="1418"/>
        </w:tabs>
        <w:spacing w:after="230" w:line="360" w:lineRule="auto"/>
        <w:ind w:left="1418"/>
        <w:jc w:val="both"/>
      </w:pPr>
      <w:r>
        <w:rPr>
          <w:rFonts w:ascii="Arial" w:eastAsia="Arial" w:hAnsi="Arial" w:cs="Arial"/>
        </w:rPr>
        <w:t>Elexon Charges (being BSCCo charges under the BSC);</w:t>
      </w:r>
    </w:p>
    <w:p w:rsidR="00AF194D" w:rsidRDefault="00AF53A3">
      <w:pPr>
        <w:numPr>
          <w:ilvl w:val="2"/>
          <w:numId w:val="5"/>
        </w:numPr>
        <w:tabs>
          <w:tab w:val="left" w:pos="1418"/>
        </w:tabs>
        <w:spacing w:after="230" w:line="360" w:lineRule="auto"/>
        <w:ind w:left="1418"/>
        <w:jc w:val="both"/>
      </w:pPr>
      <w:r>
        <w:rPr>
          <w:rFonts w:ascii="Arial" w:eastAsia="Arial" w:hAnsi="Arial" w:cs="Arial"/>
        </w:rPr>
        <w:t>AAHEDC Scheme costs (being the assistance for areas with high electricity distribution costs scheme introduced pursuant to the Energy Act 2004);</w:t>
      </w:r>
    </w:p>
    <w:p w:rsidR="00AF194D" w:rsidRDefault="00AF53A3">
      <w:pPr>
        <w:numPr>
          <w:ilvl w:val="2"/>
          <w:numId w:val="5"/>
        </w:numPr>
        <w:tabs>
          <w:tab w:val="left" w:pos="1418"/>
        </w:tabs>
        <w:spacing w:after="230" w:line="360" w:lineRule="auto"/>
        <w:ind w:left="1418"/>
        <w:jc w:val="both"/>
      </w:pPr>
      <w:r>
        <w:rPr>
          <w:rFonts w:ascii="Arial" w:eastAsia="Arial" w:hAnsi="Arial" w:cs="Arial"/>
        </w:rPr>
        <w:t>TNUoS Charges (being transmission network use of system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DUoS Charges (being distribution use of system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GDUoS Charges (where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Transmission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Distribution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for Ancillary Services, where the Customer has agreed that they are to be charged through the Customer Contract;</w:t>
      </w:r>
    </w:p>
    <w:p w:rsidR="00AF194D" w:rsidRDefault="00AF53A3">
      <w:pPr>
        <w:numPr>
          <w:ilvl w:val="2"/>
          <w:numId w:val="5"/>
        </w:numPr>
        <w:tabs>
          <w:tab w:val="left" w:pos="1418"/>
        </w:tabs>
        <w:spacing w:after="230" w:line="360" w:lineRule="auto"/>
        <w:ind w:left="1418"/>
        <w:jc w:val="both"/>
      </w:pPr>
      <w:r>
        <w:rPr>
          <w:rFonts w:ascii="Arial" w:eastAsia="Arial" w:hAnsi="Arial" w:cs="Arial"/>
        </w:rPr>
        <w:t>levies, taxes and other imposts applying to the supply (and not covered elsewhere);</w:t>
      </w:r>
    </w:p>
    <w:p w:rsidR="00AF194D" w:rsidRDefault="00AF53A3">
      <w:pPr>
        <w:numPr>
          <w:ilvl w:val="2"/>
          <w:numId w:val="5"/>
        </w:numPr>
        <w:tabs>
          <w:tab w:val="left" w:pos="1418"/>
        </w:tabs>
        <w:spacing w:after="230" w:line="360" w:lineRule="auto"/>
        <w:ind w:left="1418"/>
        <w:jc w:val="both"/>
      </w:pPr>
      <w:r>
        <w:rPr>
          <w:rFonts w:ascii="Arial" w:eastAsia="Arial" w:hAnsi="Arial" w:cs="Arial"/>
        </w:rPr>
        <w:t>the Management Fee;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Rebate;</w:t>
      </w:r>
    </w:p>
    <w:p w:rsidR="00AF194D" w:rsidRDefault="00AF53A3">
      <w:pPr>
        <w:numPr>
          <w:ilvl w:val="2"/>
          <w:numId w:val="5"/>
        </w:numPr>
        <w:tabs>
          <w:tab w:val="left" w:pos="1418"/>
        </w:tabs>
        <w:spacing w:after="230" w:line="360" w:lineRule="auto"/>
        <w:ind w:left="1418"/>
        <w:jc w:val="both"/>
      </w:pPr>
      <w:r>
        <w:rPr>
          <w:rFonts w:ascii="Arial" w:eastAsia="Arial" w:hAnsi="Arial" w:cs="Arial"/>
        </w:rPr>
        <w:t>the Ancillary Services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relating to the contract for difference and capacity market mechanisms;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any other charges agreed between the Authority and the Supplier, </w:t>
      </w:r>
    </w:p>
    <w:p w:rsidR="00AF194D" w:rsidRDefault="00AF53A3">
      <w:pPr>
        <w:tabs>
          <w:tab w:val="left" w:pos="1418"/>
        </w:tabs>
        <w:spacing w:after="230" w:line="360" w:lineRule="auto"/>
        <w:ind w:left="709"/>
        <w:jc w:val="both"/>
        <w:rPr>
          <w:rFonts w:ascii="Arial" w:eastAsia="Arial" w:hAnsi="Arial" w:cs="Arial"/>
        </w:rPr>
      </w:pPr>
      <w:r>
        <w:rPr>
          <w:rFonts w:ascii="Arial" w:eastAsia="Arial" w:hAnsi="Arial" w:cs="Arial"/>
        </w:rPr>
        <w:t>and these charges shall be multiplied by the volume of Electricity Products actually offtaken (in kilowatt hours) at each Supply Point to determine the total Variable Charges figure for that Supply Point.</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Variable Charges are: </w:t>
      </w:r>
    </w:p>
    <w:p w:rsidR="00AF194D" w:rsidRDefault="00AF53A3">
      <w:pPr>
        <w:numPr>
          <w:ilvl w:val="2"/>
          <w:numId w:val="5"/>
        </w:numPr>
        <w:tabs>
          <w:tab w:val="left" w:pos="1418"/>
        </w:tabs>
        <w:spacing w:after="230" w:line="360" w:lineRule="auto"/>
        <w:jc w:val="both"/>
      </w:pPr>
      <w:r>
        <w:rPr>
          <w:rFonts w:ascii="Arial" w:eastAsia="Arial" w:hAnsi="Arial" w:cs="Arial"/>
        </w:rPr>
        <w:t>to the extent that transparent, published rates are available in advance of the relevant Variable Charge being calculated, as reflective as reasonably possible of such rates;</w:t>
      </w:r>
    </w:p>
    <w:p w:rsidR="00AF194D" w:rsidRDefault="00AF53A3">
      <w:pPr>
        <w:numPr>
          <w:ilvl w:val="2"/>
          <w:numId w:val="5"/>
        </w:numPr>
        <w:tabs>
          <w:tab w:val="left" w:pos="1418"/>
        </w:tabs>
        <w:spacing w:after="230" w:line="360" w:lineRule="auto"/>
        <w:jc w:val="both"/>
      </w:pPr>
      <w:r>
        <w:rPr>
          <w:rFonts w:ascii="Arial" w:eastAsia="Arial" w:hAnsi="Arial" w:cs="Arial"/>
        </w:rPr>
        <w:t>except in respect of the Management Fee, do not include any margin or other additional charge levied by the Supplier; and</w:t>
      </w:r>
    </w:p>
    <w:p w:rsidR="00AF194D" w:rsidRDefault="00AF53A3">
      <w:pPr>
        <w:numPr>
          <w:ilvl w:val="2"/>
          <w:numId w:val="5"/>
        </w:numPr>
        <w:tabs>
          <w:tab w:val="left" w:pos="1418"/>
        </w:tabs>
        <w:spacing w:after="230" w:line="360" w:lineRule="auto"/>
        <w:jc w:val="both"/>
      </w:pPr>
      <w:r>
        <w:rPr>
          <w:rFonts w:ascii="Arial" w:eastAsia="Arial" w:hAnsi="Arial" w:cs="Arial"/>
        </w:rPr>
        <w:t>ensure that where energy costs require adjustment (e.g. feed in tariff contributions or energy traded into the supply period, reconciliations to commodity and non-commodity costs), these should be transparent and relate to the supply period concerned. The process of reconciliation and the provision of information should be timely, accurate, complete and reviewed and authorised by the Authority at a time agreed with the Supplier. Options for adjustment should be provided by the Supplier to Customers, e.g. within supplier invoices, monthly pricing adjustment, in-month reference price reconciliation, periodic retrospective reconciliation for lump sum return/additional charging or recovered/returned through future year contract prices on a pro-rata basis or as requested by the Authority.</w:t>
      </w:r>
    </w:p>
    <w:p w:rsidR="00AF194D" w:rsidRDefault="00AF53A3">
      <w:pPr>
        <w:keepNext/>
        <w:spacing w:after="230" w:line="360" w:lineRule="auto"/>
        <w:ind w:left="709"/>
        <w:jc w:val="both"/>
        <w:rPr>
          <w:rFonts w:ascii="Arial" w:eastAsia="Arial" w:hAnsi="Arial" w:cs="Arial"/>
          <w:b/>
        </w:rPr>
      </w:pPr>
      <w:r>
        <w:rPr>
          <w:rFonts w:ascii="Arial" w:eastAsia="Arial" w:hAnsi="Arial" w:cs="Arial"/>
          <w:b/>
          <w:i/>
        </w:rPr>
        <w:t>Fixed Daily Charges</w:t>
      </w:r>
    </w:p>
    <w:p w:rsidR="00AF194D" w:rsidRDefault="00AF53A3">
      <w:pPr>
        <w:keepNext/>
        <w:numPr>
          <w:ilvl w:val="1"/>
          <w:numId w:val="5"/>
        </w:numPr>
        <w:spacing w:after="230" w:line="360" w:lineRule="auto"/>
        <w:jc w:val="both"/>
      </w:pPr>
      <w:r>
        <w:rPr>
          <w:rFonts w:ascii="Arial" w:eastAsia="Arial" w:hAnsi="Arial" w:cs="Arial"/>
        </w:rPr>
        <w:t>The Fixed Daily Charges (£ per Day or £ per Supply Point per Month) shall be the following: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Administration Fee; </w:t>
      </w:r>
    </w:p>
    <w:p w:rsidR="00AF194D" w:rsidRDefault="00AF53A3">
      <w:pPr>
        <w:numPr>
          <w:ilvl w:val="2"/>
          <w:numId w:val="5"/>
        </w:numPr>
        <w:tabs>
          <w:tab w:val="left" w:pos="1418"/>
        </w:tabs>
        <w:spacing w:after="230" w:line="360" w:lineRule="auto"/>
        <w:ind w:left="1418"/>
        <w:jc w:val="both"/>
      </w:pPr>
      <w:r>
        <w:rPr>
          <w:rFonts w:ascii="Arial" w:eastAsia="Arial" w:hAnsi="Arial" w:cs="Arial"/>
        </w:rPr>
        <w:t>where appropriate, DuOS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where appropriate, GDuOS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any other Approved charges required in order to ensure that the fixed costs associated with a Supply Point are accurately and appropriately allocated. </w:t>
      </w:r>
    </w:p>
    <w:p w:rsidR="00AF194D" w:rsidRDefault="00AF53A3">
      <w:pPr>
        <w:keepNext/>
        <w:tabs>
          <w:tab w:val="left" w:pos="1418"/>
        </w:tabs>
        <w:spacing w:after="230" w:line="360" w:lineRule="auto"/>
        <w:ind w:left="709"/>
        <w:jc w:val="both"/>
        <w:rPr>
          <w:rFonts w:ascii="Arial" w:eastAsia="Arial" w:hAnsi="Arial" w:cs="Arial"/>
          <w:b/>
          <w:i/>
        </w:rPr>
      </w:pPr>
      <w:r>
        <w:rPr>
          <w:rFonts w:ascii="Arial" w:eastAsia="Arial" w:hAnsi="Arial" w:cs="Arial"/>
          <w:b/>
          <w:i/>
        </w:rPr>
        <w:lastRenderedPageBreak/>
        <w:t>Metering Charges</w:t>
      </w:r>
    </w:p>
    <w:p w:rsidR="00AF194D" w:rsidRDefault="00AF53A3">
      <w:pPr>
        <w:keepNext/>
        <w:numPr>
          <w:ilvl w:val="1"/>
          <w:numId w:val="5"/>
        </w:numPr>
        <w:spacing w:after="230" w:line="360" w:lineRule="auto"/>
        <w:jc w:val="both"/>
      </w:pPr>
      <w:r>
        <w:rPr>
          <w:rFonts w:ascii="Arial" w:eastAsia="Arial" w:hAnsi="Arial" w:cs="Arial"/>
        </w:rPr>
        <w:t>The Metering Charges shall be the charges incurred by the Supplier in carrying out the following elements:</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provision;</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maintenance;</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reading;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data collection; and </w:t>
      </w:r>
    </w:p>
    <w:p w:rsidR="00AF194D" w:rsidRDefault="00AF53A3">
      <w:pPr>
        <w:numPr>
          <w:ilvl w:val="2"/>
          <w:numId w:val="5"/>
        </w:numPr>
        <w:tabs>
          <w:tab w:val="left" w:pos="1418"/>
        </w:tabs>
        <w:spacing w:after="230" w:line="360" w:lineRule="auto"/>
        <w:ind w:left="1418"/>
        <w:jc w:val="both"/>
      </w:pPr>
      <w:r>
        <w:rPr>
          <w:rFonts w:ascii="Arial" w:eastAsia="Arial" w:hAnsi="Arial" w:cs="Arial"/>
        </w:rPr>
        <w:t>data aggregation.</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Metering Charges are, where the relevant service provider is: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an Affiliate of the Supplier, at market rates; and </w:t>
      </w:r>
    </w:p>
    <w:p w:rsidR="00AF194D" w:rsidRDefault="00AF53A3">
      <w:pPr>
        <w:numPr>
          <w:ilvl w:val="2"/>
          <w:numId w:val="5"/>
        </w:numPr>
        <w:tabs>
          <w:tab w:val="left" w:pos="1418"/>
        </w:tabs>
        <w:spacing w:after="230" w:line="360" w:lineRule="auto"/>
        <w:ind w:left="1418"/>
        <w:jc w:val="both"/>
      </w:pPr>
      <w:r>
        <w:rPr>
          <w:rFonts w:ascii="Arial" w:eastAsia="Arial" w:hAnsi="Arial" w:cs="Arial"/>
        </w:rPr>
        <w:t>in all other cases, negotiated at arm's length.</w:t>
      </w:r>
    </w:p>
    <w:p w:rsidR="00AF194D" w:rsidRDefault="00AF53A3">
      <w:pPr>
        <w:numPr>
          <w:ilvl w:val="1"/>
          <w:numId w:val="5"/>
        </w:numPr>
        <w:spacing w:after="230" w:line="360" w:lineRule="auto"/>
        <w:jc w:val="both"/>
      </w:pPr>
      <w:r>
        <w:rPr>
          <w:rFonts w:ascii="Arial" w:eastAsia="Arial" w:hAnsi="Arial" w:cs="Arial"/>
        </w:rPr>
        <w:t>The Supplier shall ensure that at all times the Metering Charges can be unbundled from the Invoice Price and that the elements comprising the Metering Charges can be unbundled from each other.</w:t>
      </w:r>
    </w:p>
    <w:p w:rsidR="00AF194D" w:rsidRDefault="00AF53A3">
      <w:pPr>
        <w:numPr>
          <w:ilvl w:val="1"/>
          <w:numId w:val="5"/>
        </w:numPr>
        <w:spacing w:after="230" w:line="360" w:lineRule="auto"/>
        <w:jc w:val="both"/>
      </w:pPr>
      <w:r>
        <w:rPr>
          <w:rFonts w:ascii="Arial" w:eastAsia="Arial" w:hAnsi="Arial" w:cs="Arial"/>
        </w:rPr>
        <w:t>If a Customer has made alternative metering arrangements for one or more elements of the Metering Charges, the Supplier shall not charge that Customer for the relevant element.</w:t>
      </w:r>
    </w:p>
    <w:p w:rsidR="00AF194D" w:rsidRDefault="00AF53A3">
      <w:pPr>
        <w:numPr>
          <w:ilvl w:val="1"/>
          <w:numId w:val="5"/>
        </w:numPr>
        <w:spacing w:after="230" w:line="360" w:lineRule="auto"/>
        <w:jc w:val="both"/>
      </w:pPr>
      <w:r>
        <w:rPr>
          <w:rFonts w:ascii="Arial" w:eastAsia="Arial" w:hAnsi="Arial" w:cs="Arial"/>
        </w:rPr>
        <w:t>The Supplier shall use reasonable endeavours to accommodate new arrangements and future metering solutions developed during the Term.</w:t>
      </w:r>
    </w:p>
    <w:p w:rsidR="00AF194D" w:rsidRDefault="00AF53A3">
      <w:pPr>
        <w:numPr>
          <w:ilvl w:val="1"/>
          <w:numId w:val="5"/>
        </w:numPr>
        <w:spacing w:after="230" w:line="360" w:lineRule="auto"/>
        <w:jc w:val="both"/>
      </w:pPr>
      <w:r>
        <w:rPr>
          <w:rFonts w:ascii="Arial" w:eastAsia="Arial" w:hAnsi="Arial" w:cs="Arial"/>
        </w:rPr>
        <w:t xml:space="preserve">The Supplier shall provide associated data as and when required by the Authority and or the Customer with no excess charge </w:t>
      </w:r>
    </w:p>
    <w:p w:rsidR="00AF194D" w:rsidRDefault="00AF53A3">
      <w:pPr>
        <w:spacing w:after="230" w:line="360" w:lineRule="auto"/>
        <w:ind w:left="709"/>
        <w:jc w:val="both"/>
        <w:rPr>
          <w:rFonts w:ascii="Arial" w:eastAsia="Arial" w:hAnsi="Arial" w:cs="Arial"/>
          <w:b/>
          <w:i/>
        </w:rPr>
      </w:pPr>
      <w:r>
        <w:rPr>
          <w:rFonts w:ascii="Arial" w:eastAsia="Arial" w:hAnsi="Arial" w:cs="Arial"/>
          <w:b/>
          <w:i/>
        </w:rPr>
        <w:t>The Cost of Electricity</w:t>
      </w:r>
    </w:p>
    <w:p w:rsidR="00AF194D" w:rsidRDefault="00AF53A3">
      <w:pPr>
        <w:numPr>
          <w:ilvl w:val="1"/>
          <w:numId w:val="5"/>
        </w:numPr>
        <w:spacing w:after="230" w:line="360" w:lineRule="auto"/>
        <w:jc w:val="both"/>
      </w:pPr>
      <w:r>
        <w:rPr>
          <w:rFonts w:ascii="Arial" w:eastAsia="Arial" w:hAnsi="Arial" w:cs="Arial"/>
        </w:rPr>
        <w:t>The Cost of Electricity for each Supply Point at each Site of a Customer shall, for</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Locked Products shall be determined in accordance with Paragraphs 9.12 and 9.13;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Variable Products shall be determined in accordance with Paragraphs 9.14 to 9.20; and</w:t>
      </w:r>
    </w:p>
    <w:p w:rsidR="00AF194D" w:rsidRDefault="00AF53A3">
      <w:pPr>
        <w:numPr>
          <w:ilvl w:val="2"/>
          <w:numId w:val="5"/>
        </w:numPr>
        <w:tabs>
          <w:tab w:val="left" w:pos="1418"/>
        </w:tabs>
        <w:spacing w:after="230" w:line="360" w:lineRule="auto"/>
        <w:ind w:left="1418"/>
        <w:jc w:val="both"/>
      </w:pPr>
      <w:r>
        <w:rPr>
          <w:rFonts w:ascii="Arial" w:eastAsia="Arial" w:hAnsi="Arial" w:cs="Arial"/>
        </w:rPr>
        <w:t>Interim Supplies shall be determined in accordance with Paragraph 8.</w:t>
      </w:r>
    </w:p>
    <w:p w:rsidR="00AF194D" w:rsidRDefault="00AF53A3">
      <w:pPr>
        <w:numPr>
          <w:ilvl w:val="1"/>
          <w:numId w:val="5"/>
        </w:numPr>
        <w:spacing w:after="230" w:line="360" w:lineRule="auto"/>
        <w:jc w:val="both"/>
      </w:pPr>
      <w:r>
        <w:rPr>
          <w:rFonts w:ascii="Arial" w:eastAsia="Arial" w:hAnsi="Arial" w:cs="Arial"/>
        </w:rPr>
        <w:t xml:space="preserve">The Cost of Electricity for each Locked Product shall be the volume-weighted average price fixed for Contract Blocks or Residual Charge Periods relating to that Locked Product (net of the prices unfixed for Contract Blocks relating to that Locked Product), which shall be calculated as: </w:t>
      </w:r>
    </w:p>
    <w:p w:rsidR="00AF194D" w:rsidRDefault="00AF53A3">
      <w:pPr>
        <w:spacing w:after="230" w:line="360" w:lineRule="auto"/>
        <w:ind w:left="709"/>
        <w:jc w:val="both"/>
        <w:rPr>
          <w:rFonts w:ascii="Arial" w:eastAsia="Arial" w:hAnsi="Arial" w:cs="Arial"/>
        </w:rPr>
      </w:pPr>
      <w:r>
        <w:rPr>
          <w:rFonts w:ascii="Arial" w:eastAsia="Arial" w:hAnsi="Arial" w:cs="Arial"/>
        </w:rPr>
        <w:t>EP =</w:t>
      </w:r>
      <w:r>
        <w:rPr>
          <w:rFonts w:ascii="Arial" w:eastAsia="Arial" w:hAnsi="Arial" w:cs="Arial"/>
        </w:rPr>
        <w:tab/>
        <w:t xml:space="preserve">  </w:t>
      </w:r>
      <w:r>
        <w:rPr>
          <w:rFonts w:ascii="Arial" w:eastAsia="Arial" w:hAnsi="Arial" w:cs="Arial"/>
          <w:noProof/>
          <w:sz w:val="36"/>
          <w:szCs w:val="36"/>
          <w:vertAlign w:val="subscript"/>
        </w:rPr>
        <w:drawing>
          <wp:inline distT="0" distB="0" distL="0" distR="0">
            <wp:extent cx="3362325" cy="5334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362325" cy="533400"/>
                    </a:xfrm>
                    <a:prstGeom prst="rect">
                      <a:avLst/>
                    </a:prstGeom>
                    <a:ln/>
                  </pic:spPr>
                </pic:pic>
              </a:graphicData>
            </a:graphic>
          </wp:inline>
        </w:drawing>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EP </w:t>
      </w:r>
      <w:r>
        <w:rPr>
          <w:rFonts w:ascii="Arial" w:eastAsia="Arial" w:hAnsi="Arial" w:cs="Arial"/>
        </w:rPr>
        <w:tab/>
        <w:t>is the Cost of Electricity (in £/MWh) for an Electricity Product</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VLcb </w:t>
      </w:r>
      <w:r>
        <w:rPr>
          <w:rFonts w:ascii="Arial" w:eastAsia="Arial" w:hAnsi="Arial" w:cs="Arial"/>
        </w:rPr>
        <w:tab/>
        <w:t xml:space="preserve">is the volume (in MWh) of each Contract Block relating to that Electricity Product for </w:t>
      </w:r>
      <w:r>
        <w:rPr>
          <w:rFonts w:ascii="Arial" w:eastAsia="Arial" w:hAnsi="Arial" w:cs="Arial"/>
        </w:rPr>
        <w:tab/>
        <w:t>which a price has been fixed</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PLcb </w:t>
      </w:r>
      <w:r>
        <w:rPr>
          <w:rFonts w:ascii="Arial" w:eastAsia="Arial" w:hAnsi="Arial" w:cs="Arial"/>
        </w:rPr>
        <w:tab/>
        <w:t>is the price (in £/MWh) fixed for each such Contract Block</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VUcb </w:t>
      </w:r>
      <w:r>
        <w:rPr>
          <w:rFonts w:ascii="Arial" w:eastAsia="Arial" w:hAnsi="Arial" w:cs="Arial"/>
        </w:rPr>
        <w:tab/>
        <w:t>is the volume (in MWh) of each Contract Block relating to that Electricity Product for which a price has been unfixed</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PUcb </w:t>
      </w:r>
      <w:r>
        <w:rPr>
          <w:rFonts w:ascii="Arial" w:eastAsia="Arial" w:hAnsi="Arial" w:cs="Arial"/>
        </w:rPr>
        <w:tab/>
        <w:t>is the price (in £/MWh) unfixed for each such Contract Block</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RCr </w:t>
      </w:r>
      <w:r>
        <w:rPr>
          <w:rFonts w:ascii="Arial" w:eastAsia="Arial" w:hAnsi="Arial" w:cs="Arial"/>
        </w:rPr>
        <w:tab/>
        <w:t>is the Residual Charge (in £) fixed for each Residual Charge Period relating to that Electricity Product (which may be either positive or negative) rather than the price against which such Residual Charges will be reconciled in accordance with Clause 9.20.a, if the Authority has applied Residual Charge reconciliation.</w:t>
      </w:r>
    </w:p>
    <w:p w:rsidR="00AF194D" w:rsidRDefault="00AF53A3">
      <w:pPr>
        <w:spacing w:after="230" w:line="360" w:lineRule="auto"/>
        <w:ind w:left="1560" w:hanging="851"/>
        <w:jc w:val="both"/>
        <w:rPr>
          <w:rFonts w:ascii="Arial" w:eastAsia="Arial" w:hAnsi="Arial" w:cs="Arial"/>
        </w:rPr>
      </w:pPr>
      <w:r>
        <w:rPr>
          <w:rFonts w:ascii="Arial" w:eastAsia="Arial" w:hAnsi="Arial" w:cs="Arial"/>
        </w:rPr>
        <w:t>RBV</w:t>
      </w:r>
      <w:r>
        <w:rPr>
          <w:rFonts w:ascii="Arial" w:eastAsia="Arial" w:hAnsi="Arial" w:cs="Arial"/>
        </w:rPr>
        <w:tab/>
        <w:t>is the Residual Fix Volume for the Electricity Product</w:t>
      </w:r>
    </w:p>
    <w:p w:rsidR="00AF194D" w:rsidRDefault="00AF53A3">
      <w:pPr>
        <w:spacing w:after="230" w:line="360" w:lineRule="auto"/>
        <w:ind w:left="1560" w:hanging="851"/>
        <w:jc w:val="both"/>
        <w:rPr>
          <w:rFonts w:ascii="Arial" w:eastAsia="Arial" w:hAnsi="Arial" w:cs="Arial"/>
        </w:rPr>
      </w:pPr>
      <w:r>
        <w:rPr>
          <w:rFonts w:ascii="Arial" w:eastAsia="Arial" w:hAnsi="Arial" w:cs="Arial"/>
        </w:rPr>
        <w:t>RSV</w:t>
      </w:r>
      <w:r>
        <w:rPr>
          <w:rFonts w:ascii="Arial" w:eastAsia="Arial" w:hAnsi="Arial" w:cs="Arial"/>
        </w:rPr>
        <w:tab/>
        <w:t>is the Residual Unfix Volume for the Electricity Product.</w:t>
      </w:r>
    </w:p>
    <w:p w:rsidR="00AF194D" w:rsidRDefault="00AF53A3">
      <w:pPr>
        <w:numPr>
          <w:ilvl w:val="1"/>
          <w:numId w:val="5"/>
        </w:numPr>
        <w:spacing w:after="230" w:line="360" w:lineRule="auto"/>
        <w:jc w:val="both"/>
      </w:pPr>
      <w:r>
        <w:rPr>
          <w:rFonts w:ascii="Arial" w:eastAsia="Arial" w:hAnsi="Arial" w:cs="Arial"/>
        </w:rPr>
        <w:t>The Supplier shall calculate (and notify the Authority of) the Cost of Electricity for each Locked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single Cost of Electricity for the entire Supply Year; and</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within five (5) Working Days after the Last Fixing Day for the Electricity Product.</w:t>
      </w:r>
    </w:p>
    <w:p w:rsidR="00AF194D" w:rsidRDefault="00AF53A3">
      <w:pPr>
        <w:numPr>
          <w:ilvl w:val="1"/>
          <w:numId w:val="5"/>
        </w:numPr>
        <w:spacing w:after="230" w:line="360" w:lineRule="auto"/>
        <w:jc w:val="both"/>
      </w:pPr>
      <w:r>
        <w:rPr>
          <w:rFonts w:ascii="Arial" w:eastAsia="Arial" w:hAnsi="Arial" w:cs="Arial"/>
        </w:rPr>
        <w:t xml:space="preserve">The </w:t>
      </w:r>
      <w:r>
        <w:rPr>
          <w:rFonts w:ascii="Arial" w:eastAsia="Arial" w:hAnsi="Arial" w:cs="Arial"/>
          <w:b/>
        </w:rPr>
        <w:t>Estimated Cost of Electricity</w:t>
      </w:r>
      <w:r>
        <w:rPr>
          <w:rFonts w:ascii="Arial" w:eastAsia="Arial" w:hAnsi="Arial" w:cs="Arial"/>
        </w:rPr>
        <w:t xml:space="preserve"> for a Variable Product shall be the volume-weighted average price fixed for Contract Blocks relating to that Electricity Product (net of the prices unfixed for Contract Blocks relating to that Electricity Product) plus the aggregate Residual Charge for that Electricity Product, which shall be calculated:</w:t>
      </w:r>
    </w:p>
    <w:p w:rsidR="00AF194D" w:rsidRDefault="00AF53A3">
      <w:pPr>
        <w:numPr>
          <w:ilvl w:val="2"/>
          <w:numId w:val="5"/>
        </w:numPr>
        <w:tabs>
          <w:tab w:val="left" w:pos="1418"/>
        </w:tabs>
        <w:spacing w:after="230" w:line="360" w:lineRule="auto"/>
        <w:ind w:left="1418"/>
        <w:jc w:val="both"/>
      </w:pPr>
      <w:r>
        <w:rPr>
          <w:rFonts w:ascii="Arial" w:eastAsia="Arial" w:hAnsi="Arial" w:cs="Arial"/>
        </w:rPr>
        <w:t>in accordance with Paragraph 9.12; but</w:t>
      </w:r>
    </w:p>
    <w:p w:rsidR="00AF194D" w:rsidRDefault="00AF53A3">
      <w:pPr>
        <w:numPr>
          <w:ilvl w:val="2"/>
          <w:numId w:val="5"/>
        </w:numPr>
        <w:tabs>
          <w:tab w:val="left" w:pos="1418"/>
        </w:tabs>
        <w:spacing w:after="230" w:line="360" w:lineRule="auto"/>
        <w:ind w:left="1418"/>
        <w:jc w:val="both"/>
      </w:pPr>
      <w:r>
        <w:rPr>
          <w:rFonts w:ascii="Arial" w:eastAsia="Arial" w:hAnsi="Arial" w:cs="Arial"/>
        </w:rPr>
        <w:t>where, by the Supply Start Date, the Authority has not fixed prices for all of the relevant Contract Blocks and/or Residual Charge Periods, then the Authority shall use a reasonable estimate of the price and/or charge at which the Authority will achieve such fixes for the purposes of such calculation.</w:t>
      </w:r>
    </w:p>
    <w:p w:rsidR="00AF194D" w:rsidRDefault="00AF53A3">
      <w:pPr>
        <w:numPr>
          <w:ilvl w:val="1"/>
          <w:numId w:val="5"/>
        </w:numPr>
        <w:spacing w:after="230" w:line="360" w:lineRule="auto"/>
        <w:jc w:val="both"/>
      </w:pPr>
      <w:r>
        <w:rPr>
          <w:rFonts w:ascii="Arial" w:eastAsia="Arial" w:hAnsi="Arial" w:cs="Arial"/>
        </w:rPr>
        <w:t>The Authority shall calculate on a reasonable basis (and notify the Supplier of) the Estimated Cost of Electricity for each Variable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separate Estimated Cost of Electricity for each Month of the Supply Year; and</w:t>
      </w:r>
    </w:p>
    <w:p w:rsidR="00AF194D" w:rsidRDefault="00AF53A3">
      <w:pPr>
        <w:numPr>
          <w:ilvl w:val="2"/>
          <w:numId w:val="5"/>
        </w:numPr>
        <w:tabs>
          <w:tab w:val="left" w:pos="1418"/>
        </w:tabs>
        <w:spacing w:after="230" w:line="360" w:lineRule="auto"/>
        <w:ind w:left="1418"/>
        <w:jc w:val="both"/>
      </w:pPr>
      <w:r>
        <w:rPr>
          <w:rFonts w:ascii="Arial" w:eastAsia="Arial" w:hAnsi="Arial" w:cs="Arial"/>
        </w:rPr>
        <w:t>within five (5) Working Days after the Supply Start Date of the Electricity Product.</w:t>
      </w:r>
    </w:p>
    <w:p w:rsidR="00AF194D" w:rsidRDefault="00AF53A3">
      <w:pPr>
        <w:numPr>
          <w:ilvl w:val="1"/>
          <w:numId w:val="5"/>
        </w:numPr>
        <w:spacing w:after="230" w:line="360" w:lineRule="auto"/>
        <w:jc w:val="both"/>
      </w:pPr>
      <w:r>
        <w:rPr>
          <w:rFonts w:ascii="Arial" w:eastAsia="Arial" w:hAnsi="Arial" w:cs="Arial"/>
        </w:rPr>
        <w:t>No later than ten (10) Working Days after the end of each Month in the Supply Year in respect of each Variable Product, the Supplier shall carry out a reconciliation in respect of that Month, by comparing:</w:t>
      </w:r>
    </w:p>
    <w:p w:rsidR="00AF194D" w:rsidRDefault="00AF53A3">
      <w:pPr>
        <w:numPr>
          <w:ilvl w:val="2"/>
          <w:numId w:val="5"/>
        </w:numPr>
        <w:tabs>
          <w:tab w:val="left" w:pos="1418"/>
        </w:tabs>
        <w:spacing w:after="230" w:line="360" w:lineRule="auto"/>
        <w:ind w:left="1418"/>
        <w:jc w:val="both"/>
      </w:pPr>
      <w:r>
        <w:rPr>
          <w:rFonts w:ascii="Arial" w:eastAsia="Arial" w:hAnsi="Arial" w:cs="Arial"/>
        </w:rPr>
        <w:t>the Estimated Cost of Electricity; against</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Cost of Electricity (as calculated in accordance with Paragraph 9.12, but in respect only of the relevant Month). </w:t>
      </w:r>
    </w:p>
    <w:p w:rsidR="00AF194D" w:rsidRDefault="00AF53A3">
      <w:pPr>
        <w:numPr>
          <w:ilvl w:val="1"/>
          <w:numId w:val="5"/>
        </w:numPr>
        <w:spacing w:after="230" w:line="360" w:lineRule="auto"/>
        <w:jc w:val="both"/>
      </w:pPr>
      <w:r>
        <w:rPr>
          <w:rFonts w:ascii="Arial" w:eastAsia="Arial" w:hAnsi="Arial" w:cs="Arial"/>
        </w:rPr>
        <w:t>For the purposes of the reconciliation under Paragraph 9.16, the Supplier shall calculate the reconciliation amount (“</w:t>
      </w:r>
      <w:r>
        <w:rPr>
          <w:rFonts w:ascii="Arial" w:eastAsia="Arial" w:hAnsi="Arial" w:cs="Arial"/>
          <w:b/>
        </w:rPr>
        <w:t>Monthly Reconciliation Amount</w:t>
      </w:r>
      <w:r>
        <w:rPr>
          <w:rFonts w:ascii="Arial" w:eastAsia="Arial" w:hAnsi="Arial" w:cs="Arial"/>
        </w:rPr>
        <w:t xml:space="preserve">”) in accordance with the following formula: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MRAM = (AMEPM – EMEPM) x VolM </w:t>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985" w:hanging="1276"/>
        <w:jc w:val="both"/>
        <w:rPr>
          <w:rFonts w:ascii="Arial" w:eastAsia="Arial" w:hAnsi="Arial" w:cs="Arial"/>
        </w:rPr>
      </w:pPr>
      <w:r>
        <w:rPr>
          <w:rFonts w:ascii="Arial" w:eastAsia="Arial" w:hAnsi="Arial" w:cs="Arial"/>
        </w:rPr>
        <w:t>MRAM</w:t>
      </w:r>
      <w:r>
        <w:rPr>
          <w:rFonts w:ascii="Arial" w:eastAsia="Arial" w:hAnsi="Arial" w:cs="Arial"/>
        </w:rPr>
        <w:tab/>
        <w:t>is the Monthly Reconciliation Amount (in £) for Month M</w:t>
      </w:r>
    </w:p>
    <w:p w:rsidR="00AF194D" w:rsidRDefault="00AF53A3">
      <w:pPr>
        <w:spacing w:after="230" w:line="360" w:lineRule="auto"/>
        <w:ind w:left="1985" w:hanging="1276"/>
        <w:jc w:val="both"/>
        <w:rPr>
          <w:rFonts w:ascii="Arial" w:eastAsia="Arial" w:hAnsi="Arial" w:cs="Arial"/>
        </w:rPr>
      </w:pPr>
      <w:r>
        <w:rPr>
          <w:rFonts w:ascii="Arial" w:eastAsia="Arial" w:hAnsi="Arial" w:cs="Arial"/>
        </w:rPr>
        <w:lastRenderedPageBreak/>
        <w:t>AMEPM</w:t>
      </w:r>
      <w:r>
        <w:rPr>
          <w:rFonts w:ascii="Arial" w:eastAsia="Arial" w:hAnsi="Arial" w:cs="Arial"/>
        </w:rPr>
        <w:tab/>
        <w:t>is the actual monthly Cost of Electricity for Month M (in £/MWh)</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EMEPM </w:t>
      </w:r>
      <w:r>
        <w:rPr>
          <w:rFonts w:ascii="Arial" w:eastAsia="Arial" w:hAnsi="Arial" w:cs="Arial"/>
        </w:rPr>
        <w:tab/>
        <w:t>is the estimated monthly Cost of Electricity for Month M (in £/MWh)</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VolM </w:t>
      </w:r>
      <w:r>
        <w:rPr>
          <w:rFonts w:ascii="Arial" w:eastAsia="Arial" w:hAnsi="Arial" w:cs="Arial"/>
        </w:rPr>
        <w:tab/>
        <w:t>is, in respect of the relevant Electricity Product, the total volume (in MWh) of the Contract Blocks insofar as relating to that Month for which a price has been fixed, less the volume (in MWh) of the Contract Blocks insofar as relating to that Month for which a price has been unfixed</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M </w:t>
      </w:r>
      <w:r>
        <w:rPr>
          <w:rFonts w:ascii="Arial" w:eastAsia="Arial" w:hAnsi="Arial" w:cs="Arial"/>
        </w:rPr>
        <w:tab/>
        <w:t>is a Month in the Supply Year of the relevant Electricity Product.</w:t>
      </w:r>
    </w:p>
    <w:p w:rsidR="00AF194D" w:rsidRDefault="00AF53A3">
      <w:pPr>
        <w:numPr>
          <w:ilvl w:val="1"/>
          <w:numId w:val="5"/>
        </w:numPr>
        <w:spacing w:after="230" w:line="360" w:lineRule="auto"/>
        <w:jc w:val="both"/>
      </w:pPr>
      <w:r>
        <w:rPr>
          <w:rFonts w:ascii="Arial" w:eastAsia="Arial" w:hAnsi="Arial" w:cs="Arial"/>
        </w:rPr>
        <w:t>If the Monthly Reconciliation Amount is a positive number, this is an amount which Committed Customers for the Electricity Product owe the Supplier for the supply of the Electricity Product. If the Monthly Reconciliation Amount is calculated as a negative number, this is an amount (when expressed positively) which the Supplier owes Committed Customers for the Electricity Product.</w:t>
      </w:r>
    </w:p>
    <w:p w:rsidR="00AF194D" w:rsidRDefault="00AF53A3">
      <w:pPr>
        <w:numPr>
          <w:ilvl w:val="1"/>
          <w:numId w:val="5"/>
        </w:numPr>
        <w:spacing w:after="230" w:line="360" w:lineRule="auto"/>
        <w:jc w:val="both"/>
      </w:pPr>
      <w:r>
        <w:rPr>
          <w:rFonts w:ascii="Arial" w:eastAsia="Arial" w:hAnsi="Arial" w:cs="Arial"/>
        </w:rPr>
        <w:t>The Supplier shall recover or repay Committed Customers the Monthly Reconciliation Amount (as the case may be) by adjusting the amount the Supplier invoices the Committed Customers for the supply of Electricity Products in the Month immediately following the Month in relation to which the Monthly Reconciliation Amount is calculated.</w:t>
      </w:r>
    </w:p>
    <w:p w:rsidR="00AF194D" w:rsidRDefault="00AF53A3">
      <w:pPr>
        <w:numPr>
          <w:ilvl w:val="1"/>
          <w:numId w:val="5"/>
        </w:numPr>
        <w:spacing w:after="230" w:line="360" w:lineRule="auto"/>
        <w:jc w:val="both"/>
      </w:pPr>
      <w:r>
        <w:rPr>
          <w:rFonts w:ascii="Arial" w:eastAsia="Arial" w:hAnsi="Arial" w:cs="Arial"/>
        </w:rPr>
        <w:t>The Monthly Reconciliation Amount shall be allocated, in full or in part, between Committed Customer Supply Points in proportion to the percentage metered volumes forecast to be offtaken by those Committed Customer Supply Points agreed at the point the respective Residual Volume Quotation is accepted for each Electricity Product.  For the avoidance of doubt should any Committed Customer Supply Point no longer be supplied by the Supplier at the point the Monthly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Customers Supply Point</w:t>
      </w:r>
      <w:r>
        <w:rPr>
          <w:rFonts w:ascii="Arial" w:eastAsia="Arial" w:hAnsi="Arial" w:cs="Arial"/>
        </w:rPr>
        <w:t>”), any Monthly Reconciliation Amount relating to such Month shall be allocated, on a pro rata basis, as follows-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 For those days of the Month where a Departing Committed Customer Supply Point continued to be supplied by the Supplier, the Departing Committed Customer Supply Point will be included in the reconciliation and receive or pay any Monthly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         (ii) For those days of the Month where a Departing Committed Customer Supply Point is no longer supplied by the Supplier, the Departing Committed Customer Supply Point will NOT be included in the reconciliation nor receive of pay any Monthly Reconciliation Amount due on that basis;</w:t>
      </w:r>
    </w:p>
    <w:p w:rsidR="00AF194D" w:rsidRDefault="00AF53A3">
      <w:pPr>
        <w:spacing w:after="230" w:line="360" w:lineRule="auto"/>
        <w:jc w:val="both"/>
        <w:rPr>
          <w:rFonts w:ascii="Arial" w:eastAsia="Arial" w:hAnsi="Arial" w:cs="Arial"/>
          <w:b/>
          <w:i/>
        </w:rPr>
      </w:pPr>
      <w:r>
        <w:rPr>
          <w:rFonts w:ascii="Arial" w:eastAsia="Arial" w:hAnsi="Arial" w:cs="Arial"/>
        </w:rPr>
        <w:t xml:space="preserve">          </w:t>
      </w:r>
      <w:r>
        <w:rPr>
          <w:rFonts w:ascii="Arial" w:eastAsia="Arial" w:hAnsi="Arial" w:cs="Arial"/>
          <w:b/>
          <w:i/>
        </w:rPr>
        <w:t xml:space="preserve">Settlement Period Residual Charge Reconciliation Amount </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9.20(a)  In respect of each Electricity Product for which the Authority has accepted a Residual Volume Quotation confirming the Relevant UK Auction Index against which Residual Charges for such  Electricity Product are to be reconciled,  no later than thirty (30) Working Days after the end of each Month (the </w:t>
      </w:r>
      <w:r>
        <w:rPr>
          <w:rFonts w:ascii="Arial" w:eastAsia="Arial" w:hAnsi="Arial" w:cs="Arial"/>
          <w:b/>
        </w:rPr>
        <w:t>“Reconciled Month“</w:t>
      </w:r>
      <w:r>
        <w:rPr>
          <w:rFonts w:ascii="Arial" w:eastAsia="Arial" w:hAnsi="Arial" w:cs="Arial"/>
        </w:rPr>
        <w:t xml:space="preserve">) in the Supply Year, the Supplier shall, for each Settlement Period in the Reconciled Month calculate the Settlement Period Residual Charge Reconciliation Amount, by deducting from the Index Priced Residual Charge (as defined in 9.20.a(i) below) for such Settlement Period the Residual Charge (in £) invoiced for such Settlement Period (both of which may be positive or negative). </w:t>
      </w:r>
    </w:p>
    <w:p w:rsidR="00AF194D" w:rsidRDefault="00AF53A3">
      <w:pPr>
        <w:spacing w:after="230" w:line="360" w:lineRule="auto"/>
        <w:ind w:left="709" w:hanging="709"/>
        <w:jc w:val="both"/>
        <w:rPr>
          <w:rFonts w:ascii="Arial" w:eastAsia="Arial" w:hAnsi="Arial" w:cs="Arial"/>
          <w:b/>
          <w:i/>
        </w:rPr>
      </w:pPr>
      <w:r>
        <w:rPr>
          <w:rFonts w:ascii="Arial" w:eastAsia="Arial" w:hAnsi="Arial" w:cs="Arial"/>
        </w:rPr>
        <w:t xml:space="preserve">           </w:t>
      </w:r>
      <w:r>
        <w:rPr>
          <w:rFonts w:ascii="Arial" w:eastAsia="Arial" w:hAnsi="Arial" w:cs="Arial"/>
          <w:b/>
          <w:i/>
        </w:rPr>
        <w:t>Index Priced Residual Charge</w:t>
      </w:r>
    </w:p>
    <w:p w:rsidR="00AF194D" w:rsidRDefault="00AF53A3">
      <w:pPr>
        <w:spacing w:after="230" w:line="360" w:lineRule="auto"/>
        <w:ind w:left="709" w:hanging="709"/>
        <w:rPr>
          <w:rFonts w:ascii="Arial" w:eastAsia="Arial" w:hAnsi="Arial" w:cs="Arial"/>
        </w:rPr>
      </w:pPr>
      <w:r>
        <w:rPr>
          <w:rFonts w:ascii="Arial" w:eastAsia="Arial" w:hAnsi="Arial" w:cs="Arial"/>
        </w:rPr>
        <w:t>9.20(a)(i) The Index Priced Residual Charge for each Settlement Period shall be calculated by multiplying:-</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(a) </w:t>
      </w:r>
      <w:r>
        <w:rPr>
          <w:rFonts w:ascii="Arial" w:eastAsia="Arial" w:hAnsi="Arial" w:cs="Arial"/>
        </w:rPr>
        <w:tab/>
        <w:t>the net residual volume in MWh at NBP (a positive value will mean Residual Fix Volumes and a negative value will mean Residual Unfix Volumes); with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(b) </w:t>
      </w:r>
      <w:r>
        <w:rPr>
          <w:rFonts w:ascii="Arial" w:eastAsia="Arial" w:hAnsi="Arial" w:cs="Arial"/>
        </w:rPr>
        <w:tab/>
        <w:t>the index prices published by the Relevant UK Action Index, as specified by the Authority</w:t>
      </w:r>
    </w:p>
    <w:p w:rsidR="00AF194D" w:rsidRDefault="00AF194D">
      <w:pPr>
        <w:spacing w:after="0" w:line="240" w:lineRule="auto"/>
        <w:ind w:left="709"/>
        <w:jc w:val="both"/>
        <w:rPr>
          <w:rFonts w:ascii="Arial" w:eastAsia="Arial" w:hAnsi="Arial" w:cs="Arial"/>
          <w:b/>
        </w:rPr>
      </w:pPr>
    </w:p>
    <w:p w:rsidR="00AF194D" w:rsidRDefault="00AF53A3">
      <w:pPr>
        <w:spacing w:after="0" w:line="240" w:lineRule="auto"/>
        <w:ind w:left="709"/>
        <w:jc w:val="both"/>
        <w:rPr>
          <w:rFonts w:ascii="Arial" w:eastAsia="Arial" w:hAnsi="Arial" w:cs="Arial"/>
          <w:b/>
        </w:rPr>
      </w:pPr>
      <w:r>
        <w:rPr>
          <w:rFonts w:ascii="Arial" w:eastAsia="Arial" w:hAnsi="Arial" w:cs="Arial"/>
        </w:rPr>
        <w:t xml:space="preserve"> </w:t>
      </w:r>
      <w:r>
        <w:rPr>
          <w:rFonts w:ascii="Arial" w:eastAsia="Arial" w:hAnsi="Arial" w:cs="Arial"/>
          <w:b/>
        </w:rPr>
        <w:t>Total Residual Reconciliation Amount</w:t>
      </w:r>
    </w:p>
    <w:p w:rsidR="00AF194D" w:rsidRDefault="00AF194D">
      <w:pPr>
        <w:spacing w:after="0" w:line="240" w:lineRule="auto"/>
        <w:ind w:left="709"/>
        <w:jc w:val="both"/>
        <w:rPr>
          <w:rFonts w:ascii="Arial" w:eastAsia="Arial" w:hAnsi="Arial" w:cs="Arial"/>
          <w:b/>
        </w:rPr>
      </w:pP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9.20(a)(ii) The net sum of each Settlement Period Residual Charge Reconciliation Amount for each Settlement Period in the Reconciled Month shall be the Total Residual Reconciliation Amount for such Reconciled Month (which may be positive or negative).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positive number, this is an amount which Committed Customers for the Electricity Product owe the Supplier for the supply of the Electricity Product.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negative number, this is an amount (when expressed positively) which the Supplier owes Committed Customers for the Electricity Product. </w:t>
      </w:r>
    </w:p>
    <w:p w:rsidR="00AF194D" w:rsidRDefault="00AF53A3">
      <w:pPr>
        <w:spacing w:after="230" w:line="360" w:lineRule="auto"/>
        <w:ind w:left="709"/>
        <w:jc w:val="both"/>
        <w:rPr>
          <w:rFonts w:ascii="Times New Roman" w:eastAsia="Times New Roman" w:hAnsi="Times New Roman" w:cs="Times New Roman"/>
          <w:sz w:val="24"/>
          <w:szCs w:val="24"/>
        </w:rPr>
      </w:pPr>
      <w:r>
        <w:rPr>
          <w:rFonts w:ascii="Arial" w:eastAsia="Arial" w:hAnsi="Arial" w:cs="Arial"/>
        </w:rPr>
        <w:lastRenderedPageBreak/>
        <w:t>The Supplier shall recover or repay Committed Customers (as the case may be) the relevant Total Residual Reconciliation Amount for a Reconciled Month by adjusting the amount the Supplier invoices the Committed Customers for the supply of Electricity Products for the Month immediately following the month immediately after the Reconciled Month.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The Total Residual Reconciliation Amount shall be allocated, in full or in part, between Committed Customer Supply Points in proportion to the percentage metered volumes forecast to be offtaken by those Committed Customer Supply Points agreed at the point the respective Residual Volume Quotation is accepted for each Electricity Product. For the avoidance of doubt should any Committed Customer Supply Point no longer be supplied by the Supplier, at the point the Total Residual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 Supply Point</w:t>
      </w:r>
      <w:r>
        <w:rPr>
          <w:rFonts w:ascii="Arial" w:eastAsia="Arial" w:hAnsi="Arial" w:cs="Arial"/>
        </w:rPr>
        <w:t xml:space="preserve">”), any Total Residual Reconciliation Amount relating to such Month shall be allocated, on a pro rata basis, as follows:-  </w:t>
      </w:r>
    </w:p>
    <w:p w:rsidR="00AF194D" w:rsidRDefault="00AF53A3">
      <w:pPr>
        <w:spacing w:after="230" w:line="360" w:lineRule="auto"/>
        <w:ind w:left="709"/>
        <w:jc w:val="both"/>
        <w:rPr>
          <w:rFonts w:ascii="Arial" w:eastAsia="Arial" w:hAnsi="Arial" w:cs="Arial"/>
        </w:rPr>
      </w:pPr>
      <w:r>
        <w:rPr>
          <w:rFonts w:ascii="Arial" w:eastAsia="Arial" w:hAnsi="Arial" w:cs="Arial"/>
          <w:b/>
        </w:rPr>
        <w:t xml:space="preserve">            </w:t>
      </w:r>
      <w:r>
        <w:rPr>
          <w:rFonts w:ascii="Arial" w:eastAsia="Arial" w:hAnsi="Arial" w:cs="Arial"/>
        </w:rPr>
        <w:t>(i)    For those days of the Month where a Departing Committed Customer Supply Point continued to be supplied by the Supplier, the Departing Committed Customer Supply Point will be included in the reconciliation and receive or pay any Total Residual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  For those days of the Month where a Departing Committed Customer Supply Point is no longer supplied by the Supplier, the Departing Committed Customer Supply Point will NOT be included in the reconciliation nor receive or pay any Total Residual Reconciliation Amount due on that basis;</w:t>
      </w:r>
    </w:p>
    <w:p w:rsidR="00AF194D" w:rsidRDefault="00AF53A3">
      <w:pPr>
        <w:spacing w:after="230" w:line="360" w:lineRule="auto"/>
        <w:ind w:left="709"/>
        <w:jc w:val="both"/>
        <w:rPr>
          <w:rFonts w:ascii="Arial" w:eastAsia="Arial" w:hAnsi="Arial" w:cs="Arial"/>
          <w:b/>
        </w:rPr>
      </w:pPr>
      <w:r>
        <w:rPr>
          <w:rFonts w:ascii="Arial" w:eastAsia="Arial" w:hAnsi="Arial" w:cs="Arial"/>
        </w:rPr>
        <w:t xml:space="preserve">By no later than the end of the month following the end of the Residual Charge Period for which the Authority has accepted a Residual Volume Quotation confirming the relevant Relevant UK Auction Index against which Residual Charges for the Electricity Products covered by such Residual Volume Quotation are to be reconciled </w:t>
      </w:r>
      <w:r>
        <w:rPr>
          <w:rFonts w:ascii="Arial" w:eastAsia="Arial" w:hAnsi="Arial" w:cs="Arial"/>
          <w:b/>
        </w:rPr>
        <w:t xml:space="preserve">(the “Rebate Date“), </w:t>
      </w:r>
      <w:r>
        <w:rPr>
          <w:rFonts w:ascii="Arial" w:eastAsia="Arial" w:hAnsi="Arial" w:cs="Arial"/>
        </w:rPr>
        <w:t xml:space="preserve">the Supplier shall provide to Committed Customers a rebate  which in aggregate is equivalent to </w:t>
      </w:r>
      <w:r>
        <w:rPr>
          <w:rFonts w:ascii="Arial" w:eastAsia="Arial" w:hAnsi="Arial" w:cs="Arial"/>
          <w:color w:val="FF0000"/>
        </w:rPr>
        <w:t xml:space="preserve"> </w:t>
      </w:r>
      <w:r>
        <w:rPr>
          <w:rFonts w:ascii="Arial" w:eastAsia="Arial" w:hAnsi="Arial" w:cs="Arial"/>
          <w:highlight w:val="yellow"/>
        </w:rPr>
        <w:t>[insert relevant table and pricing from winning supplier response]</w:t>
      </w:r>
      <w:r>
        <w:rPr>
          <w:rFonts w:ascii="Arial" w:eastAsia="Arial" w:hAnsi="Arial" w:cs="Arial"/>
          <w:color w:val="FF0000"/>
        </w:rPr>
        <w:t xml:space="preserve"> </w:t>
      </w:r>
      <w:r>
        <w:rPr>
          <w:rFonts w:ascii="Arial" w:eastAsia="Arial" w:hAnsi="Arial" w:cs="Arial"/>
        </w:rPr>
        <w:t>/KWh (at Supply Point)</w:t>
      </w:r>
      <w:r>
        <w:rPr>
          <w:rFonts w:ascii="Arial" w:eastAsia="Arial" w:hAnsi="Arial" w:cs="Arial"/>
          <w:color w:val="FF0000"/>
        </w:rPr>
        <w:t xml:space="preserve"> </w:t>
      </w:r>
      <w:r>
        <w:rPr>
          <w:rFonts w:ascii="Arial" w:eastAsia="Arial" w:hAnsi="Arial" w:cs="Arial"/>
        </w:rPr>
        <w:t xml:space="preserve">for each MWh of electricity supplied to all Committed Customers during the Residual Charge Period subject to a Residual Charge which has been reconciled in accordance with this Clause </w:t>
      </w:r>
      <w:r>
        <w:rPr>
          <w:rFonts w:ascii="Arial" w:eastAsia="Arial" w:hAnsi="Arial" w:cs="Arial"/>
          <w:b/>
        </w:rPr>
        <w:t>(the “Residual Rebate“).</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The Residual Rebate shall be allocated between those Committed Customers, who continued to be Committed Customers as at the Rebate Date </w:t>
      </w:r>
      <w:r>
        <w:rPr>
          <w:rFonts w:ascii="Arial" w:eastAsia="Arial" w:hAnsi="Arial" w:cs="Arial"/>
          <w:b/>
        </w:rPr>
        <w:t>(“Rebate Eligible Customers”)</w:t>
      </w:r>
      <w:r>
        <w:rPr>
          <w:rFonts w:ascii="Arial" w:eastAsia="Arial" w:hAnsi="Arial" w:cs="Arial"/>
        </w:rPr>
        <w:t>. The Residual Rebate shall be allocated across Rebate Eligible Customers in proportion to the metered volumes offtaken by those Rebate Eligible Customers during the relevant Residual Charge Period compared with the total metered volumes offtaken by all Rebate Eligible Customers during the relevant Residual Charge Period.</w:t>
      </w:r>
    </w:p>
    <w:p w:rsidR="00AF194D" w:rsidRDefault="00AF53A3">
      <w:pPr>
        <w:spacing w:after="230" w:line="360" w:lineRule="auto"/>
        <w:ind w:left="709" w:hanging="709"/>
        <w:jc w:val="both"/>
        <w:rPr>
          <w:rFonts w:ascii="Arial" w:eastAsia="Arial" w:hAnsi="Arial" w:cs="Arial"/>
        </w:rPr>
      </w:pPr>
      <w:r>
        <w:rPr>
          <w:rFonts w:ascii="Arial" w:eastAsia="Arial" w:hAnsi="Arial" w:cs="Arial"/>
        </w:rPr>
        <w:t>9.20(b)  If at any time after accepting a Residual Volume Quotation confirming the Relevant UK Index against which Residual Charges are to be reconciled in accordance with Clause 9.20(a) the Authority wishes to cease the reconciliation of Residual Charges in accordance with Clause 9.20(a), the Authority may (by telephone, during Trading Hours) request the Supplier to provide a new Residual Volume Quotation for the remaining Months (part or complete) in the Residual Charge Period, which shall be provided and capable of acceptance in accordance with the principles set out in Clause 4.3 and 4.5, save that the reference in 4.3 to within one (1) Working Day of receipt one (1) Working Day shall in this context be replaced with within two (2) Working Days of receipt. If the Authority validly accepts the revised Residual Volume Quotation provided by the Supplier in response to such request:-</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 (a)        the Residual Charge for the remaining Residual Charge Period shall  be fixed with such revised Residual Volume Quotation in accordance with 9.20(b) above; </w:t>
      </w:r>
    </w:p>
    <w:p w:rsidR="00AF194D" w:rsidRDefault="00AF53A3">
      <w:pPr>
        <w:spacing w:after="230" w:line="360" w:lineRule="auto"/>
        <w:ind w:left="1276"/>
        <w:jc w:val="both"/>
        <w:rPr>
          <w:rFonts w:ascii="Arial" w:eastAsia="Arial" w:hAnsi="Arial" w:cs="Arial"/>
        </w:rPr>
      </w:pPr>
      <w:r>
        <w:rPr>
          <w:rFonts w:ascii="Arial" w:eastAsia="Arial" w:hAnsi="Arial" w:cs="Arial"/>
        </w:rPr>
        <w:t>(b)       the Total Residual Reconciliation Amount for those Months prior to the Months covered by the revised Residual Volume Quotation accepted by the Authority shall be reconciled in accordance with 9.20.a;</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(c)     during the Residual Charge Period covered by the revised Residual Volume Quotation accepted by the Authority, a reconciliation of Residual Charges will continue based on the revised Residual Volume Quotation to be allocated , in full or in part, between Committed Customer Supply Points in proportion to the percentage metered volumes forecast to be offtaken by those Committed Customers Supply Points agreed at the point the respective Residual Volume Quotation is accepted for each Electricity Product during such Month(s). For the avoidance of doubt should any Committed Customer Supply Point no longer be supplied by the Supplier, at the point the Residual Charge reconciliation is to be allocated, no reconciliation shall be due to or from the respective Committed Customer for that Supply Point. Where a Committed Customer Supply Point has </w:t>
      </w:r>
      <w:r>
        <w:rPr>
          <w:rFonts w:ascii="Arial" w:eastAsia="Arial" w:hAnsi="Arial" w:cs="Arial"/>
        </w:rPr>
        <w:lastRenderedPageBreak/>
        <w:t>ended its supply part way through a Month (“Departing Committed Customer Supply Point”), any Residual Charge relating to such Month shall be allocated, on a pro rata basis, as follows:-</w:t>
      </w:r>
    </w:p>
    <w:p w:rsidR="00AF194D" w:rsidRDefault="00AF53A3">
      <w:pPr>
        <w:spacing w:after="230" w:line="360" w:lineRule="auto"/>
        <w:ind w:left="1842"/>
        <w:jc w:val="both"/>
        <w:rPr>
          <w:rFonts w:ascii="Arial" w:eastAsia="Arial" w:hAnsi="Arial" w:cs="Arial"/>
        </w:rPr>
      </w:pPr>
      <w:r>
        <w:rPr>
          <w:rFonts w:ascii="Arial" w:eastAsia="Arial" w:hAnsi="Arial" w:cs="Arial"/>
        </w:rPr>
        <w:t>(i) For those days of the Month where a Departing Committed Customer Supply Point continued to be supplied by the Supplier, the Departing Committed Customer Supply Point will be included in the reconciliation and receive or pay any Residual Charge due on that basis;</w:t>
      </w:r>
    </w:p>
    <w:p w:rsidR="00AF194D" w:rsidRDefault="00AF53A3">
      <w:pPr>
        <w:spacing w:after="230" w:line="360" w:lineRule="auto"/>
        <w:ind w:left="1842"/>
        <w:jc w:val="both"/>
        <w:rPr>
          <w:rFonts w:ascii="Arial" w:eastAsia="Arial" w:hAnsi="Arial" w:cs="Arial"/>
        </w:rPr>
      </w:pPr>
      <w:r>
        <w:rPr>
          <w:rFonts w:ascii="Arial" w:eastAsia="Arial" w:hAnsi="Arial" w:cs="Arial"/>
        </w:rPr>
        <w:t>(ii) For those days of the Month where a Departing Committed Customer Supply Point is no longer supplied by the Supplier, the Departing Committed Customer Supply Point will NOT be included in the reconciliation nor receive or pay any Residual Charge due on that basis</w:t>
      </w:r>
    </w:p>
    <w:p w:rsidR="00AF194D" w:rsidRDefault="00AF53A3">
      <w:pPr>
        <w:spacing w:after="230" w:line="360" w:lineRule="auto"/>
        <w:ind w:left="1842"/>
        <w:rPr>
          <w:rFonts w:ascii="Arial" w:eastAsia="Arial" w:hAnsi="Arial" w:cs="Arial"/>
        </w:rPr>
      </w:pPr>
      <w:r>
        <w:rPr>
          <w:rFonts w:ascii="Arial" w:eastAsia="Arial" w:hAnsi="Arial" w:cs="Arial"/>
        </w:rPr>
        <w:t>(d)</w:t>
      </w:r>
      <w:r>
        <w:rPr>
          <w:rFonts w:ascii="Arial" w:eastAsia="Arial" w:hAnsi="Arial" w:cs="Arial"/>
          <w:b/>
        </w:rPr>
        <w:t xml:space="preserve">        </w:t>
      </w:r>
      <w:r>
        <w:rPr>
          <w:rFonts w:ascii="Arial" w:eastAsia="Arial" w:hAnsi="Arial" w:cs="Arial"/>
        </w:rPr>
        <w:t>No Residual Rebate will apply in relation to any volume supplied during the remaining Residual Charge Period covered by the revised Residual Volume Quotation accepted by the Authority.</w:t>
      </w:r>
    </w:p>
    <w:p w:rsidR="00AF194D" w:rsidRDefault="00AF194D">
      <w:pPr>
        <w:spacing w:after="230" w:line="360" w:lineRule="auto"/>
        <w:ind w:left="1276"/>
        <w:rPr>
          <w:rFonts w:ascii="Arial" w:eastAsia="Arial" w:hAnsi="Arial" w:cs="Arial"/>
        </w:rPr>
      </w:pPr>
    </w:p>
    <w:p w:rsidR="00AF194D" w:rsidRDefault="00AF53A3">
      <w:pPr>
        <w:spacing w:after="230" w:line="360" w:lineRule="auto"/>
        <w:ind w:left="709"/>
        <w:rPr>
          <w:rFonts w:ascii="Arial" w:eastAsia="Arial" w:hAnsi="Arial" w:cs="Arial"/>
          <w:b/>
          <w:i/>
        </w:rPr>
      </w:pPr>
      <w:r>
        <w:rPr>
          <w:rFonts w:ascii="Arial" w:eastAsia="Arial" w:hAnsi="Arial" w:cs="Arial"/>
          <w:b/>
          <w:i/>
        </w:rPr>
        <w:t>Management Fee and variation</w:t>
      </w:r>
    </w:p>
    <w:p w:rsidR="00AF194D" w:rsidRDefault="00AF53A3">
      <w:pPr>
        <w:numPr>
          <w:ilvl w:val="1"/>
          <w:numId w:val="5"/>
        </w:numPr>
        <w:spacing w:after="230" w:line="360" w:lineRule="auto"/>
        <w:jc w:val="both"/>
      </w:pPr>
      <w:r>
        <w:rPr>
          <w:rFonts w:ascii="Arial" w:eastAsia="Arial" w:hAnsi="Arial" w:cs="Arial"/>
        </w:rPr>
        <w:t>The Management Fee is set out below:</w:t>
      </w:r>
    </w:p>
    <w:p w:rsidR="00AF194D" w:rsidRDefault="00AF53A3">
      <w:pPr>
        <w:spacing w:after="230" w:line="360" w:lineRule="auto"/>
        <w:ind w:left="709"/>
        <w:jc w:val="both"/>
        <w:rPr>
          <w:rFonts w:ascii="Arial" w:eastAsia="Arial" w:hAnsi="Arial" w:cs="Arial"/>
          <w:highlight w:val="yellow"/>
        </w:rPr>
      </w:pPr>
      <w:r>
        <w:rPr>
          <w:rFonts w:ascii="Arial" w:eastAsia="Arial" w:hAnsi="Arial" w:cs="Arial"/>
          <w:highlight w:val="yellow"/>
        </w:rPr>
        <w:t>[insert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The Management Fee shall also vary depending upon the payment method, payment timeframe and bill type requested by Customers in accordance with the table below:</w:t>
      </w:r>
    </w:p>
    <w:p w:rsidR="00AF194D" w:rsidRDefault="00AF53A3">
      <w:pPr>
        <w:spacing w:after="230" w:line="360" w:lineRule="auto"/>
        <w:ind w:left="709"/>
        <w:jc w:val="both"/>
        <w:rPr>
          <w:rFonts w:ascii="Arial" w:eastAsia="Arial" w:hAnsi="Arial" w:cs="Arial"/>
        </w:rPr>
      </w:pPr>
      <w:r>
        <w:rPr>
          <w:rFonts w:ascii="Arial" w:eastAsia="Arial" w:hAnsi="Arial" w:cs="Arial"/>
          <w:highlight w:val="yellow"/>
        </w:rPr>
        <w:t>[insert relevant table and pricing from winning supplier response]</w:t>
      </w:r>
    </w:p>
    <w:p w:rsidR="00AF194D" w:rsidRDefault="00AF194D">
      <w:pPr>
        <w:keepNext/>
        <w:pBdr>
          <w:top w:val="nil"/>
          <w:left w:val="nil"/>
          <w:bottom w:val="nil"/>
          <w:right w:val="nil"/>
          <w:between w:val="nil"/>
        </w:pBdr>
        <w:spacing w:after="230" w:line="360" w:lineRule="auto"/>
        <w:ind w:hanging="709"/>
        <w:jc w:val="both"/>
        <w:rPr>
          <w:rFonts w:ascii="Arial" w:eastAsia="Arial" w:hAnsi="Arial" w:cs="Arial"/>
          <w:b/>
          <w:i/>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Administration Fee</w:t>
      </w:r>
    </w:p>
    <w:p w:rsidR="00AF194D" w:rsidRDefault="00AF53A3">
      <w:pPr>
        <w:numPr>
          <w:ilvl w:val="1"/>
          <w:numId w:val="5"/>
        </w:numPr>
        <w:spacing w:after="230" w:line="360" w:lineRule="auto"/>
        <w:jc w:val="both"/>
      </w:pPr>
      <w:r>
        <w:rPr>
          <w:rFonts w:ascii="Arial" w:eastAsia="Arial" w:hAnsi="Arial" w:cs="Arial"/>
        </w:rPr>
        <w:t>The Administration Fee shall represent the cost of invoicing the Customers and where multiple, aggregated Meters are billed on a single invoice, the Supplier shall apply only a single Administration Fee for that invoice. The Administration Fee shall be determined by the form in which the Supplier has agreed to provide invoices to each Customer as follows (expressed in £/Supply Point or aggregated Supply Points/Month):</w:t>
      </w:r>
    </w:p>
    <w:p w:rsidR="00AF194D" w:rsidRDefault="00AF53A3">
      <w:pPr>
        <w:spacing w:after="230" w:line="360" w:lineRule="auto"/>
        <w:ind w:left="709"/>
        <w:jc w:val="both"/>
        <w:rPr>
          <w:rFonts w:ascii="Arial" w:eastAsia="Arial" w:hAnsi="Arial" w:cs="Arial"/>
        </w:rPr>
      </w:pPr>
      <w:r>
        <w:rPr>
          <w:rFonts w:ascii="Arial" w:eastAsia="Arial" w:hAnsi="Arial" w:cs="Arial"/>
          <w:highlight w:val="yellow"/>
        </w:rPr>
        <w:lastRenderedPageBreak/>
        <w:t>insert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Customer Commission and Customer Rebate</w:t>
      </w:r>
    </w:p>
    <w:p w:rsidR="00AF194D" w:rsidRDefault="00AF53A3">
      <w:pPr>
        <w:numPr>
          <w:ilvl w:val="1"/>
          <w:numId w:val="5"/>
        </w:numPr>
        <w:spacing w:after="230" w:line="360" w:lineRule="auto"/>
        <w:jc w:val="both"/>
      </w:pPr>
      <w:r>
        <w:rPr>
          <w:rFonts w:ascii="Arial" w:eastAsia="Arial" w:hAnsi="Arial" w:cs="Arial"/>
        </w:rPr>
        <w:t xml:space="preserve">The Customer Commission shall be such amount as the Authority notifies to the Supplier from time to time in accordance with Paragraph 9.25 (which amount may vary between Customers). </w:t>
      </w:r>
    </w:p>
    <w:p w:rsidR="00AF194D" w:rsidRDefault="00AF53A3">
      <w:pPr>
        <w:numPr>
          <w:ilvl w:val="1"/>
          <w:numId w:val="5"/>
        </w:numPr>
        <w:spacing w:after="230" w:line="360" w:lineRule="auto"/>
        <w:jc w:val="both"/>
      </w:pPr>
      <w:r>
        <w:rPr>
          <w:rFonts w:ascii="Arial" w:eastAsia="Arial" w:hAnsi="Arial" w:cs="Arial"/>
        </w:rPr>
        <w:t>The Authority may, by no later than one (1) Month prior to the first Day of a Supply Year, notify or amend the level of the Customer Commission payable in that year by giving notice to the Supplier in writing.</w:t>
      </w:r>
    </w:p>
    <w:p w:rsidR="00AF194D" w:rsidRDefault="00AF53A3">
      <w:pPr>
        <w:numPr>
          <w:ilvl w:val="1"/>
          <w:numId w:val="5"/>
        </w:numPr>
        <w:spacing w:after="230" w:line="360" w:lineRule="auto"/>
        <w:jc w:val="both"/>
      </w:pPr>
      <w:r>
        <w:rPr>
          <w:rFonts w:ascii="Arial" w:eastAsia="Arial" w:hAnsi="Arial" w:cs="Arial"/>
        </w:rPr>
        <w:t>If the Authority notifies the Supplier that the Customer pays the Customer Commission to the Authority directly, the Supplier shall not include the Customer Commission in the Invoice Amount.</w:t>
      </w:r>
    </w:p>
    <w:p w:rsidR="00AF194D" w:rsidRDefault="00AF53A3">
      <w:pPr>
        <w:numPr>
          <w:ilvl w:val="1"/>
          <w:numId w:val="5"/>
        </w:numPr>
        <w:spacing w:after="230" w:line="360" w:lineRule="auto"/>
        <w:jc w:val="both"/>
      </w:pPr>
      <w:r>
        <w:rPr>
          <w:rFonts w:ascii="Arial" w:eastAsia="Arial" w:hAnsi="Arial" w:cs="Arial"/>
        </w:rPr>
        <w:t>The Supplier will, at the request of any Customer, assist that Customer through the invoicing process in recovering any Customer Rebate or similar sums agreed between that Customer and any third party or emanation of that Customer.</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Invoicing</w:t>
      </w:r>
    </w:p>
    <w:p w:rsidR="00AF194D" w:rsidRDefault="00AF53A3">
      <w:pPr>
        <w:numPr>
          <w:ilvl w:val="1"/>
          <w:numId w:val="5"/>
        </w:numPr>
        <w:spacing w:after="230" w:line="360" w:lineRule="auto"/>
        <w:jc w:val="both"/>
      </w:pPr>
      <w:r>
        <w:rPr>
          <w:rFonts w:ascii="Arial" w:eastAsia="Arial" w:hAnsi="Arial" w:cs="Arial"/>
        </w:rPr>
        <w:t xml:space="preserve">The Supplier shall, as soon as is reasonably practicable following the Commencement Date, provide the Authority with an Invoice Price Methodology for Approval. Following Approval, the Supplier shall comply with the Invoice Price Methodology (as applicable from time to time) and Good Industry Practice in determining the Invoice Amounts (or any estimates or reconciliations thereof) applicable for each Supply Point at Sites of Customers.  </w:t>
      </w:r>
    </w:p>
    <w:p w:rsidR="00AF194D" w:rsidRDefault="00AF53A3">
      <w:pPr>
        <w:keepNext/>
        <w:numPr>
          <w:ilvl w:val="1"/>
          <w:numId w:val="5"/>
        </w:numPr>
        <w:spacing w:after="230" w:line="360" w:lineRule="auto"/>
        <w:jc w:val="both"/>
      </w:pPr>
      <w:r>
        <w:rPr>
          <w:rFonts w:ascii="Arial" w:eastAsia="Arial" w:hAnsi="Arial" w:cs="Arial"/>
        </w:rPr>
        <w:t xml:space="preserve">The Supplier shall warrants and represents that the Invoice Price Methodology :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is comprehensive, full and transparent to enable the Authority to understand how a Charge (or any estimates or reconciliations thereof) has been calculated;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that the Variable Charges shall be a true pass-through and shall not include any margin or other charge levied by the Supplier in addition;</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lastRenderedPageBreak/>
        <w:t>explains how the Supplier will estimate any estimated charges levied in respect of Variable Charges, and when and how any such estimates will be reconciled;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ensures, insofar as consistent with the requirements of this Schedule 3, and insofar as reasonably practicable, the minimisation of any cross-subsidy between Customers, between one class of Customer and another, or between Committed Customers of an Electricity Product and Committed Customers of another Electricity Product;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transparency of Ancillary Services Commission and Customer Commission; and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so constructed so as to enable the Supplier to provide a detailed breakdown of the invoiced Charges to the relevant Customer where the Customer reasonably requests such a breakdown (such breakdown to set out each of the elements that comprise the Charges, including each of the elements that comprise the Variable Charges),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r>
        <w:rPr>
          <w:rFonts w:ascii="Arial" w:eastAsia="Arial" w:hAnsi="Arial" w:cs="Arial"/>
        </w:rPr>
        <w:t>and shall ensure that it remains so during the Term.</w:t>
      </w:r>
    </w:p>
    <w:p w:rsidR="00AF194D" w:rsidRDefault="00AF53A3">
      <w:pPr>
        <w:numPr>
          <w:ilvl w:val="1"/>
          <w:numId w:val="5"/>
        </w:numPr>
        <w:spacing w:after="230" w:line="360" w:lineRule="auto"/>
        <w:jc w:val="both"/>
      </w:pPr>
      <w:r>
        <w:rPr>
          <w:rFonts w:ascii="Arial" w:eastAsia="Arial" w:hAnsi="Arial" w:cs="Arial"/>
        </w:rPr>
        <w:t>The Supplier shall keep the Invoice Price Methodology under review and update it so as to ensure that the methodology at all times continues to meet the principles in Paragraph 9.29. The Supplier shall provide the Authority with any updated Invoice Price Methodology promptly after it has been updated.</w:t>
      </w:r>
    </w:p>
    <w:p w:rsidR="00AF194D" w:rsidRDefault="00AF53A3">
      <w:pPr>
        <w:numPr>
          <w:ilvl w:val="1"/>
          <w:numId w:val="5"/>
        </w:numPr>
        <w:spacing w:after="230" w:line="360" w:lineRule="auto"/>
        <w:jc w:val="both"/>
      </w:pPr>
      <w:r>
        <w:rPr>
          <w:rFonts w:ascii="Arial" w:eastAsia="Arial" w:hAnsi="Arial" w:cs="Arial"/>
        </w:rPr>
        <w:t>Within ten (10) Working Days after it has received a revised Invoice Price Methodology, the Authority may provide the Supplier with comments on the revised Invoice Price Methodology. As soon as reasonably practicable following receipt of the Authority’s comments, the Supplier shall update the Invoice Price Methodology to give effect to the Authority’s comments.</w:t>
      </w:r>
    </w:p>
    <w:p w:rsidR="00AF194D" w:rsidRDefault="00AF53A3">
      <w:pPr>
        <w:numPr>
          <w:ilvl w:val="1"/>
          <w:numId w:val="5"/>
        </w:numPr>
        <w:spacing w:after="230" w:line="360" w:lineRule="auto"/>
        <w:jc w:val="both"/>
      </w:pPr>
      <w:r>
        <w:rPr>
          <w:rFonts w:ascii="Arial" w:eastAsia="Arial" w:hAnsi="Arial" w:cs="Arial"/>
        </w:rPr>
        <w:t>The Supplier shall ensure that any contracts or other arrangements that affect the amount of any Variable Charges are entered into on arm’s length terms at market rates.</w:t>
      </w:r>
    </w:p>
    <w:p w:rsidR="00AF194D" w:rsidRDefault="00AF53A3">
      <w:pPr>
        <w:numPr>
          <w:ilvl w:val="1"/>
          <w:numId w:val="5"/>
        </w:numPr>
        <w:spacing w:after="230" w:line="360" w:lineRule="auto"/>
        <w:jc w:val="both"/>
      </w:pPr>
      <w:r>
        <w:rPr>
          <w:rFonts w:ascii="Arial" w:eastAsia="Arial" w:hAnsi="Arial" w:cs="Arial"/>
        </w:rPr>
        <w:t>The Supplier shall invoice Customers Monthly in arrears in accordance with the Customer Contract.  Under its Customer Contract, a Customer may elect to be invoiced on a Supply Point basis or on an aggregate Supply Point basis. The Metering Charges shall not apply where a Customer has made alternative metering arrangements in accordance with the Customer Contract.</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 xml:space="preserve">PRE-ARRANGED TRADES </w:t>
      </w:r>
    </w:p>
    <w:p w:rsidR="00AF194D" w:rsidRDefault="00AF53A3">
      <w:pPr>
        <w:numPr>
          <w:ilvl w:val="1"/>
          <w:numId w:val="5"/>
        </w:numPr>
        <w:spacing w:after="230" w:line="360" w:lineRule="auto"/>
        <w:jc w:val="both"/>
      </w:pPr>
      <w:r>
        <w:rPr>
          <w:rFonts w:ascii="Arial" w:eastAsia="Arial" w:hAnsi="Arial" w:cs="Arial"/>
        </w:rPr>
        <w:t>The Authority may instruct the Supplier to buy some or all of the volumes purchased by the Authority, or other Crown Body, under a GTMA, (“</w:t>
      </w:r>
      <w:r>
        <w:rPr>
          <w:rFonts w:ascii="Arial" w:eastAsia="Arial" w:hAnsi="Arial" w:cs="Arial"/>
          <w:b/>
        </w:rPr>
        <w:t>Pre-arranged</w:t>
      </w:r>
      <w:r>
        <w:rPr>
          <w:rFonts w:ascii="Arial" w:eastAsia="Arial" w:hAnsi="Arial" w:cs="Arial"/>
        </w:rPr>
        <w:t xml:space="preserve"> </w:t>
      </w:r>
      <w:r>
        <w:rPr>
          <w:rFonts w:ascii="Arial" w:eastAsia="Arial" w:hAnsi="Arial" w:cs="Arial"/>
          <w:b/>
        </w:rPr>
        <w:t>Trade</w:t>
      </w:r>
      <w:r>
        <w:rPr>
          <w:rFonts w:ascii="Arial" w:eastAsia="Arial" w:hAnsi="Arial" w:cs="Arial"/>
        </w:rPr>
        <w:t>”), provided that the Authority, or such other Crown Body, is an Authorised Trading Counterparty (“</w:t>
      </w:r>
      <w:r>
        <w:rPr>
          <w:rFonts w:ascii="Arial" w:eastAsia="Arial" w:hAnsi="Arial" w:cs="Arial"/>
          <w:b/>
        </w:rPr>
        <w:t>Pre-arranged Trade Instruction</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Each Pre-arranged Trade Instruction shall include details of the:</w:t>
      </w:r>
    </w:p>
    <w:p w:rsidR="00AF194D" w:rsidRDefault="00AF53A3">
      <w:pPr>
        <w:numPr>
          <w:ilvl w:val="2"/>
          <w:numId w:val="5"/>
        </w:numPr>
        <w:tabs>
          <w:tab w:val="left" w:pos="1418"/>
        </w:tabs>
        <w:spacing w:after="230" w:line="360" w:lineRule="auto"/>
        <w:ind w:left="1418"/>
        <w:jc w:val="both"/>
      </w:pPr>
      <w:r>
        <w:rPr>
          <w:rFonts w:ascii="Arial" w:eastAsia="Arial" w:hAnsi="Arial" w:cs="Arial"/>
        </w:rPr>
        <w:t>volumes of electricity which are subject to the Pre-arranged Trade Instruction and the price (“</w:t>
      </w:r>
      <w:r>
        <w:rPr>
          <w:rFonts w:ascii="Arial" w:eastAsia="Arial" w:hAnsi="Arial" w:cs="Arial"/>
          <w:b/>
        </w:rPr>
        <w:t>GTMA</w:t>
      </w:r>
      <w:r>
        <w:rPr>
          <w:rFonts w:ascii="Arial" w:eastAsia="Arial" w:hAnsi="Arial" w:cs="Arial"/>
        </w:rPr>
        <w:t xml:space="preserve"> </w:t>
      </w:r>
      <w:r>
        <w:rPr>
          <w:rFonts w:ascii="Arial" w:eastAsia="Arial" w:hAnsi="Arial" w:cs="Arial"/>
          <w:b/>
        </w:rPr>
        <w:t>Price</w:t>
      </w:r>
      <w:r>
        <w:rPr>
          <w:rFonts w:ascii="Arial" w:eastAsia="Arial" w:hAnsi="Arial" w:cs="Arial"/>
        </w:rPr>
        <w:t>”) of such volumes under the GTMA;</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name of the parties to the GTMA; and </w:t>
      </w:r>
    </w:p>
    <w:p w:rsidR="00AF194D" w:rsidRDefault="00AF53A3">
      <w:pPr>
        <w:numPr>
          <w:ilvl w:val="2"/>
          <w:numId w:val="5"/>
        </w:numPr>
        <w:tabs>
          <w:tab w:val="left" w:pos="1418"/>
        </w:tabs>
        <w:spacing w:after="230" w:line="360" w:lineRule="auto"/>
        <w:ind w:left="1418"/>
        <w:jc w:val="both"/>
      </w:pPr>
      <w:r>
        <w:rPr>
          <w:rFonts w:ascii="Arial" w:eastAsia="Arial" w:hAnsi="Arial" w:cs="Arial"/>
        </w:rPr>
        <w:t>Electricity Product and Contract Blocks to which the volumes of electricity under the GTMA should be allocated.</w:t>
      </w:r>
    </w:p>
    <w:p w:rsidR="00AF194D" w:rsidRDefault="00AF53A3">
      <w:pPr>
        <w:numPr>
          <w:ilvl w:val="1"/>
          <w:numId w:val="5"/>
        </w:numPr>
        <w:spacing w:after="230" w:line="360" w:lineRule="auto"/>
        <w:jc w:val="both"/>
      </w:pPr>
      <w:r>
        <w:rPr>
          <w:rFonts w:ascii="Arial" w:eastAsia="Arial" w:hAnsi="Arial" w:cs="Arial"/>
        </w:rPr>
        <w:t xml:space="preserve">As soon as is reasonably practicable following receipt of a Pre-arranged Trade Instruction the Supplier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 xml:space="preserve">If the Authority is a party to the relevant Pre-arranged Trade it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Where the relevant volume of electricity is allocated to the Supplier under the BSC (or would have been so allocated but for the default of the Supplier) then for the purposes of and unfixing prices the Authority shall be deemed to have entered a Third Party Transaction, in relation to the relevant Contract Blocks, to fix prices for those Contract Blocks at the GTMA Price.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DIRECT AND INDIRECT PPAs, AND EMBEDDED GENERATION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Direct PPAs</w:t>
      </w:r>
    </w:p>
    <w:p w:rsidR="00AF194D" w:rsidRDefault="00AF53A3">
      <w:pPr>
        <w:numPr>
          <w:ilvl w:val="1"/>
          <w:numId w:val="5"/>
        </w:numPr>
        <w:spacing w:after="230" w:line="360" w:lineRule="auto"/>
        <w:jc w:val="both"/>
      </w:pPr>
      <w:r>
        <w:rPr>
          <w:rFonts w:ascii="Arial" w:eastAsia="Arial" w:hAnsi="Arial" w:cs="Arial"/>
        </w:rPr>
        <w:t>The Supplier acknowledges that the Authority may enter into Direct PPAs, with generators of baseload and/or intermittent electricity under which the Authority will purchase all or a fixed proportion of the electricity generated by the Generators from time to time for a specified number of years (“</w:t>
      </w:r>
      <w:r>
        <w:rPr>
          <w:rFonts w:ascii="Arial" w:eastAsia="Arial" w:hAnsi="Arial" w:cs="Arial"/>
          <w:b/>
        </w:rPr>
        <w:t>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lastRenderedPageBreak/>
        <w:t>Pursuant to Direct PPAs the Supplier will accept delivery of, and supply, the Relevant Electrical Output from the latter of:</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 commencement of supply under the relevant Direct PPA; and</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date notified by the Authority, to the Supplier, that it wishes the Supplier to commence purchasing the Relevant Electrical Output under the Direct PPA pursuant to Annex 1. </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Paragraphs 11.1 and 11.2 in relation to Direct PPAs the Parties will comply with the provisions of, and prices for Contract Blocks will be fixed in accordance with, Annex 1.</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Indirect PPAs</w:t>
      </w:r>
    </w:p>
    <w:p w:rsidR="00AF194D" w:rsidRDefault="00AF53A3">
      <w:pPr>
        <w:numPr>
          <w:ilvl w:val="1"/>
          <w:numId w:val="5"/>
        </w:numPr>
        <w:spacing w:after="230" w:line="360" w:lineRule="auto"/>
        <w:jc w:val="both"/>
      </w:pPr>
      <w:r>
        <w:rPr>
          <w:rFonts w:ascii="Arial" w:eastAsia="Arial" w:hAnsi="Arial" w:cs="Arial"/>
        </w:rPr>
        <w:t>The Parties acknowledge that the Supplier may  enter or may have entered into PPAs with third parties (not being Customers) which (with the prior written consent of the Authority) are linked to, and may be used for, supply of electricity under this Framework Agreement but to which the Authority is not a party (“</w:t>
      </w:r>
      <w:r>
        <w:rPr>
          <w:rFonts w:ascii="Arial" w:eastAsia="Arial" w:hAnsi="Arial" w:cs="Arial"/>
          <w:b/>
        </w:rPr>
        <w:t>Indirect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11.4 in relation to Indirect PPAs the Parties will comply with the provisions of, and prices for Contract Blocks will be fixed in accordance with, Annex 5.</w:t>
      </w:r>
    </w:p>
    <w:p w:rsidR="00AF194D" w:rsidRDefault="00AF53A3">
      <w:pPr>
        <w:spacing w:after="230" w:line="360" w:lineRule="auto"/>
        <w:ind w:left="709"/>
        <w:jc w:val="both"/>
        <w:rPr>
          <w:rFonts w:ascii="Arial" w:eastAsia="Arial" w:hAnsi="Arial" w:cs="Arial"/>
          <w:b/>
          <w:i/>
        </w:rPr>
      </w:pPr>
      <w:r>
        <w:rPr>
          <w:rFonts w:ascii="Arial" w:eastAsia="Arial" w:hAnsi="Arial" w:cs="Arial"/>
          <w:b/>
          <w:i/>
        </w:rPr>
        <w:t>Embedded Generation</w:t>
      </w:r>
    </w:p>
    <w:p w:rsidR="00AF194D" w:rsidRDefault="00AF53A3">
      <w:pPr>
        <w:numPr>
          <w:ilvl w:val="1"/>
          <w:numId w:val="5"/>
        </w:numPr>
        <w:spacing w:after="230" w:line="360" w:lineRule="auto"/>
        <w:jc w:val="both"/>
      </w:pPr>
      <w:r>
        <w:rPr>
          <w:rFonts w:ascii="Arial" w:eastAsia="Arial" w:hAnsi="Arial" w:cs="Arial"/>
        </w:rPr>
        <w:t xml:space="preserve">The Supplier agrees that, in relation to purchase by it of generation from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such generation shall be subject to agreement between the Supplier and the relevant Customer on the terms of such sale and purchase;</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it shall offer reasonable terms for such purchase where requested to do so by the Authority or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invoicing options offered under any such arrangements shall allow for the payments for excess generation to be included as a credit on the Customer’s invoice under any Customer Contract; </w:t>
      </w:r>
    </w:p>
    <w:p w:rsidR="00AF194D" w:rsidRDefault="00AF53A3">
      <w:pPr>
        <w:numPr>
          <w:ilvl w:val="2"/>
          <w:numId w:val="5"/>
        </w:numPr>
        <w:tabs>
          <w:tab w:val="left" w:pos="1418"/>
        </w:tabs>
        <w:spacing w:after="230" w:line="360" w:lineRule="auto"/>
        <w:ind w:left="1418"/>
        <w:jc w:val="both"/>
      </w:pPr>
      <w:r>
        <w:rPr>
          <w:rFonts w:ascii="Arial" w:eastAsia="Arial" w:hAnsi="Arial" w:cs="Arial"/>
        </w:rPr>
        <w:t>all equivalent generation non-energy components will be passed through at the relevant cost or benefit; and</w:t>
      </w:r>
    </w:p>
    <w:p w:rsidR="00AF194D" w:rsidRDefault="00AF53A3">
      <w:pPr>
        <w:numPr>
          <w:ilvl w:val="2"/>
          <w:numId w:val="5"/>
        </w:numPr>
        <w:tabs>
          <w:tab w:val="left" w:pos="1418"/>
        </w:tabs>
        <w:spacing w:after="230" w:line="360" w:lineRule="auto"/>
        <w:ind w:left="1418"/>
        <w:jc w:val="both"/>
      </w:pPr>
      <w:r>
        <w:rPr>
          <w:rFonts w:ascii="Arial" w:eastAsia="Arial" w:hAnsi="Arial" w:cs="Arial"/>
        </w:rPr>
        <w:t>as a minimum the  Supplier will provide the following options:</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lastRenderedPageBreak/>
        <w:t>an export arrangement using the Supplier's standard business processes; or</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pricing the power using a Day Ahead Index agreed between the Parties (each acting reasonably), or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pricing the power using system prices on a pass through basis, or</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pricing the power using feed in tariff rates if applicable.</w:t>
      </w:r>
    </w:p>
    <w:p w:rsidR="00AF194D" w:rsidRDefault="00AF53A3">
      <w:pPr>
        <w:spacing w:after="230" w:line="360" w:lineRule="auto"/>
        <w:ind w:left="709"/>
        <w:jc w:val="both"/>
        <w:rPr>
          <w:rFonts w:ascii="Arial" w:eastAsia="Arial" w:hAnsi="Arial" w:cs="Arial"/>
        </w:rPr>
      </w:pPr>
      <w:r>
        <w:rPr>
          <w:rFonts w:ascii="Arial" w:eastAsia="Arial" w:hAnsi="Arial" w:cs="Arial"/>
        </w:rPr>
        <w:t>and that, under each pricing option, the equivalent generation value on a site by site basis can be included as a line item on the relevant supply invoice.</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11.6 in relation to Embedded Generation, the Parties will comply with the provisions of, and prices for Contract Blocks will be fixed in accordance with Annex 8.</w:t>
      </w:r>
    </w:p>
    <w:p w:rsidR="00AF194D" w:rsidRDefault="00AF53A3">
      <w:pPr>
        <w:spacing w:after="0" w:line="240" w:lineRule="auto"/>
        <w:jc w:val="center"/>
        <w:rPr>
          <w:rFonts w:ascii="Arial" w:eastAsia="Arial" w:hAnsi="Arial" w:cs="Arial"/>
          <w:b/>
        </w:rPr>
      </w:pPr>
      <w:bookmarkStart w:id="7" w:name="_3dy6vkm" w:colFirst="0" w:colLast="0"/>
      <w:bookmarkEnd w:id="7"/>
      <w:r>
        <w:br w:type="page"/>
      </w:r>
      <w:r>
        <w:rPr>
          <w:rFonts w:ascii="Arial" w:eastAsia="Arial" w:hAnsi="Arial" w:cs="Arial"/>
          <w:b/>
        </w:rPr>
        <w:lastRenderedPageBreak/>
        <w:t>ANNEX 1 - PURCHASE BY THE AUTHORITY UNDER DIRECT PPAS</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INFORMATION IN RELATION TO DIRECT PPAs</w:t>
      </w:r>
    </w:p>
    <w:p w:rsidR="00AF194D" w:rsidRDefault="00AF53A3">
      <w:pPr>
        <w:keepNext/>
        <w:spacing w:after="230" w:line="360" w:lineRule="auto"/>
        <w:ind w:left="709"/>
        <w:jc w:val="both"/>
        <w:rPr>
          <w:rFonts w:ascii="Arial" w:eastAsia="Arial" w:hAnsi="Arial" w:cs="Arial"/>
        </w:rPr>
      </w:pPr>
      <w:r>
        <w:rPr>
          <w:rFonts w:ascii="Arial" w:eastAsia="Arial" w:hAnsi="Arial" w:cs="Arial"/>
          <w:color w:val="222222"/>
          <w:highlight w:val="white"/>
        </w:rPr>
        <w:t xml:space="preserve">In line with the high level description, with respect to Direct PPA's and Specifically Annex's 2,5,6, 7, due to the complex and bespoke nature of PPA arrangements which are heavily dependent on regulations and the energy source utilised, the Authority reserves the right to amend and implement any such changes as required to meet each relevant PPA requirement.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On or before entering into a Direct PPA the Authority shall notify the Supplier of the information set out in Paragraph 1.2 in relation to that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information referred to in Paragraph 1.1 is:</w:t>
      </w:r>
    </w:p>
    <w:p w:rsidR="00AF194D" w:rsidRDefault="00AF53A3">
      <w:pPr>
        <w:numPr>
          <w:ilvl w:val="2"/>
          <w:numId w:val="9"/>
        </w:numPr>
        <w:tabs>
          <w:tab w:val="left" w:pos="1418"/>
        </w:tabs>
        <w:spacing w:after="230" w:line="360" w:lineRule="auto"/>
        <w:ind w:left="1418"/>
        <w:jc w:val="both"/>
      </w:pPr>
      <w:r>
        <w:rPr>
          <w:rFonts w:ascii="Arial" w:eastAsia="Arial" w:hAnsi="Arial" w:cs="Arial"/>
        </w:rPr>
        <w:t>the name of the Generator;</w:t>
      </w:r>
    </w:p>
    <w:p w:rsidR="00AF194D" w:rsidRDefault="00AF53A3">
      <w:pPr>
        <w:numPr>
          <w:ilvl w:val="2"/>
          <w:numId w:val="9"/>
        </w:numPr>
        <w:tabs>
          <w:tab w:val="left" w:pos="1418"/>
        </w:tabs>
        <w:spacing w:after="230" w:line="360" w:lineRule="auto"/>
        <w:ind w:left="1418"/>
        <w:jc w:val="both"/>
      </w:pPr>
      <w:r>
        <w:rPr>
          <w:rFonts w:ascii="Arial" w:eastAsia="Arial" w:hAnsi="Arial" w:cs="Arial"/>
        </w:rPr>
        <w:t>the location and description of the Facility, including its fuel or technology type, its actual or anticipated Net Capacity, the Delivery Point and whether it is a baseload (having an expected or actual load factor of 0.8 or greater) or intermittent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anticipated or actual dates on which the Facility will commence, or has commenced, commissioning and commercial operations and the date upon which the relevant Direct PPA is expected to expire (if such expiry is during the Term);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anticipated date from which the Supplier is required to purchase electricity under the Direct PPA;</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prices at which the Authority has agreed to purchase the Relevant Electrical Output (in £ per MWh or on the basis of a relevant Published Index) and Benefits</w:t>
      </w:r>
      <w:r>
        <w:rPr>
          <w:rFonts w:ascii="Arial" w:eastAsia="Arial" w:hAnsi="Arial" w:cs="Arial"/>
        </w:rPr>
        <w:t>:</w:t>
      </w:r>
    </w:p>
    <w:p w:rsidR="00AF194D" w:rsidRDefault="00AF53A3">
      <w:pPr>
        <w:numPr>
          <w:ilvl w:val="3"/>
          <w:numId w:val="9"/>
        </w:numPr>
        <w:spacing w:after="230" w:line="360" w:lineRule="auto"/>
        <w:ind w:left="1985" w:hanging="566"/>
        <w:jc w:val="both"/>
        <w:rPr>
          <w:rFonts w:ascii="Arial" w:eastAsia="Arial" w:hAnsi="Arial" w:cs="Arial"/>
        </w:rPr>
      </w:pPr>
      <w:r>
        <w:rPr>
          <w:rFonts w:ascii="Arial" w:eastAsia="Arial" w:hAnsi="Arial" w:cs="Arial"/>
          <w:color w:val="222222"/>
          <w:highlight w:val="white"/>
        </w:rPr>
        <w:t>during the Commissioning Period, where relevant;</w:t>
      </w:r>
    </w:p>
    <w:p w:rsidR="00AF194D" w:rsidRDefault="00AF53A3">
      <w:pPr>
        <w:numPr>
          <w:ilvl w:val="3"/>
          <w:numId w:val="9"/>
        </w:numPr>
        <w:spacing w:after="230" w:line="360" w:lineRule="auto"/>
        <w:ind w:left="1985" w:hanging="566"/>
        <w:jc w:val="both"/>
        <w:rPr>
          <w:rFonts w:ascii="Arial" w:eastAsia="Arial" w:hAnsi="Arial" w:cs="Arial"/>
        </w:rPr>
      </w:pPr>
      <w:r>
        <w:rPr>
          <w:rFonts w:ascii="Times New Roman" w:eastAsia="Times New Roman" w:hAnsi="Times New Roman" w:cs="Times New Roman"/>
          <w:color w:val="222222"/>
          <w:sz w:val="14"/>
          <w:szCs w:val="14"/>
          <w:highlight w:val="white"/>
        </w:rPr>
        <w:t xml:space="preserve"> </w:t>
      </w:r>
      <w:r>
        <w:rPr>
          <w:rFonts w:ascii="Arial" w:eastAsia="Arial" w:hAnsi="Arial" w:cs="Arial"/>
          <w:color w:val="222222"/>
          <w:highlight w:val="white"/>
        </w:rPr>
        <w:t>after the Commissioning Period, where relevant</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fixed proportion (which may be 100%) of the Electrical Output of the Facility that the Authority has agreed to purchase from the Generator;</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whether ROCs, REGOs and New Benefits are to be purchased;</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lastRenderedPageBreak/>
        <w:t>whether it is FIT accredited and whether FIT Opt-Out Notification is in place;</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Embedded Benefit Percentage, ROC Percentage,  REGO Percentage, Recycling Percentage and the New Benefit Percentage to apply;</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the definition of “outage” in respect of the relevant Facility;</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parameters outside of which an updated forecast must be provided pursuant to Paragraph 3.5 of Annex 7;</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any specified damages due from the Generator to the Authority as a result of a breach of the relevant Direct PPA, including in respect of a failure of the Generator to give sufficient notice of the commencement or cessation of any unplanned outages; and</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any other information reasonably requested by the Supplier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SATISFACTION OF CONDITIONS PRECEDENT, AND THE COMMERCIAL OPERATIONS DATE</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in writing, as soon as reasonably practicable and to the extent relevant:</w:t>
      </w:r>
    </w:p>
    <w:p w:rsidR="00AF194D" w:rsidRDefault="00AF53A3">
      <w:pPr>
        <w:numPr>
          <w:ilvl w:val="2"/>
          <w:numId w:val="9"/>
        </w:numPr>
        <w:tabs>
          <w:tab w:val="left" w:pos="1418"/>
        </w:tabs>
        <w:spacing w:after="230" w:line="360" w:lineRule="auto"/>
        <w:ind w:left="1418"/>
        <w:jc w:val="both"/>
      </w:pPr>
      <w:r>
        <w:rPr>
          <w:rFonts w:ascii="Arial" w:eastAsia="Arial" w:hAnsi="Arial" w:cs="Arial"/>
        </w:rPr>
        <w:t>on satisfaction of all conditions precedent under each Direct PPA; and</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if the conditions precedent in any Direct PPA have not been satisfied (or waived) by the relevant long stop date:</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any extension of the relevant long stop date; and/or</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 xml:space="preserve">of any consequential termination of the Direct PPA.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conditions precedent within each Direct PPA shall include a condition that the Generator has either: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benefit of an Exemption; or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has obtained a Generation Licence,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in respect of the relevant Facility, and Authority shall not waive such condition precedent.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 xml:space="preserve">In the case of: </w:t>
      </w:r>
    </w:p>
    <w:p w:rsidR="00AF194D" w:rsidRDefault="00AF53A3">
      <w:pPr>
        <w:numPr>
          <w:ilvl w:val="2"/>
          <w:numId w:val="9"/>
        </w:numPr>
        <w:tabs>
          <w:tab w:val="left" w:pos="1418"/>
        </w:tabs>
        <w:spacing w:after="230" w:line="360" w:lineRule="auto"/>
        <w:ind w:left="1418"/>
        <w:jc w:val="both"/>
      </w:pPr>
      <w:r>
        <w:rPr>
          <w:rFonts w:ascii="Arial" w:eastAsia="Arial" w:hAnsi="Arial" w:cs="Arial"/>
        </w:rPr>
        <w:t>any Direct PPA, if the Facility is not operational, the Generator shall keep the Supplier informed of the progress of construction and commissioning, and the anticipated energisation date, of each such Facility. The Generator shall notify the Supplier promptly on satisfaction of all pre-commissioning requirements in the relevant Direct PPA. The Generator shall also keep the Authority apprised.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Where the Commercial Operations Date in respect of any Facility under a Direct PPA does not occur on the date notified to the Supplier by the Generator pursuant to this Annex 1, the Generator, acting as a Reasonable and Prudent Operator, will provide ( using reasonable endeavours) the Supplier non-binding estimates of the anticipated Commercial Operations Date at least:</w:t>
      </w:r>
    </w:p>
    <w:p w:rsidR="00AF194D" w:rsidRDefault="00AF53A3">
      <w:pPr>
        <w:numPr>
          <w:ilvl w:val="2"/>
          <w:numId w:val="9"/>
        </w:numPr>
        <w:tabs>
          <w:tab w:val="left" w:pos="1418"/>
        </w:tabs>
        <w:spacing w:after="230" w:line="360" w:lineRule="auto"/>
        <w:ind w:left="1418"/>
        <w:jc w:val="both"/>
      </w:pPr>
      <w:r>
        <w:rPr>
          <w:rFonts w:ascii="Arial" w:eastAsia="Arial" w:hAnsi="Arial" w:cs="Arial"/>
        </w:rPr>
        <w:t>three (3) months prior to the first Day of the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four (4) weeks prior to the first Day of the week; and</w:t>
      </w:r>
    </w:p>
    <w:p w:rsidR="00AF194D" w:rsidRDefault="00AF53A3">
      <w:pPr>
        <w:numPr>
          <w:ilvl w:val="2"/>
          <w:numId w:val="9"/>
        </w:numPr>
        <w:tabs>
          <w:tab w:val="left" w:pos="1418"/>
        </w:tabs>
        <w:spacing w:after="230" w:line="360" w:lineRule="auto"/>
        <w:ind w:left="1418"/>
        <w:jc w:val="both"/>
      </w:pPr>
      <w:r>
        <w:rPr>
          <w:rFonts w:ascii="Arial" w:eastAsia="Arial" w:hAnsi="Arial" w:cs="Arial"/>
        </w:rPr>
        <w:t>forty-eight (48) hours prior to the start of the Day,</w:t>
      </w:r>
    </w:p>
    <w:p w:rsidR="00AF194D" w:rsidRDefault="00AF53A3">
      <w:pPr>
        <w:spacing w:after="230" w:line="360" w:lineRule="auto"/>
        <w:ind w:left="709"/>
        <w:jc w:val="both"/>
        <w:rPr>
          <w:rFonts w:ascii="Arial" w:eastAsia="Arial" w:hAnsi="Arial" w:cs="Arial"/>
        </w:rPr>
      </w:pPr>
      <w:r>
        <w:rPr>
          <w:rFonts w:ascii="Arial" w:eastAsia="Arial" w:hAnsi="Arial" w:cs="Arial"/>
        </w:rPr>
        <w:t>during which the Generator expects the Commercial Operations Date to occur. The Generator will keep the Authority informed.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where relevant and in writing, as soon as is reasonably practicable following:</w:t>
      </w:r>
    </w:p>
    <w:p w:rsidR="00AF194D" w:rsidRDefault="00AF53A3">
      <w:pPr>
        <w:numPr>
          <w:ilvl w:val="2"/>
          <w:numId w:val="9"/>
        </w:numPr>
        <w:tabs>
          <w:tab w:val="left" w:pos="1418"/>
        </w:tabs>
        <w:spacing w:after="230" w:line="360" w:lineRule="auto"/>
        <w:ind w:left="1418"/>
        <w:jc w:val="both"/>
      </w:pPr>
      <w:r>
        <w:rPr>
          <w:rFonts w:ascii="Arial" w:eastAsia="Arial" w:hAnsi="Arial" w:cs="Arial"/>
        </w:rPr>
        <w:t>achievement of the Commercial Operations Date under each Direct PPA (together with reasonable evidence), where the Commercial Operations Date has not occurred prior to the Commencement Date; or</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Commercial Operations Date in any Direct PPA has not occurred  (or has been waived) by the anticipated commercial operations long stop date:</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any extension of the long stop date; and</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of any consequential termination of the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Unless the Generator gives the Supplier at least 48 (forty eight) hours’ prior notice of the Commercial Operations Date (where this has not occurred by the date of </w:t>
      </w:r>
      <w:r>
        <w:rPr>
          <w:rFonts w:ascii="Arial" w:eastAsia="Arial" w:hAnsi="Arial" w:cs="Arial"/>
        </w:rPr>
        <w:lastRenderedPageBreak/>
        <w:t>notification by the Authority pursuant to this Annex 1), the Commissioning Payment Calculation shall continue to apply until such 48 hour period has expired.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a Direct PPA is terminated all obligations under this Annex 1 in respect of such Direct PPA or the relevant Facility and any relevant Supplier Interface Agreement or Supplier Interface Agreement (MVRN Version) shall automatically terminate without any ongoing obligation on either Party, except to cooperate (acting as a Reasonable and Prudent Operator) in unwinding any arrangements in respect of such Direct PPA or Facility that have already been put in place.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GENERAL OBLIGATIONS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shall comply, to the extent applicable and in all material respects, with all applicable Laws and Industry Rules to the extent required to enable the delivery and acceptance of the Relevant Electrical Output and Benefits in accordance with this Annex.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as soon as reasonably practicable, if it becomes aware that it or the Generator is in breach of any Applicable Laws or Industry Rules.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Relevant Electrical Output is generated by a FIT Generator the Authority shall procure that the FIT Generator submits a valid FIT Opt-Out Notification to its FIT Licensee and shall not submit a FIT Opt-In Notification.</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immediately in the event that it instructs the Distribution Network Operator or the Transmission System Operator (as the case may be) to de-energise or disconnect any Delivery Point, or if it becomes aware that any Delivery Point has been, or is about to be, de-energised or disconnected.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The Authority shall (where relevant) procure that each Generator shall maintain Accreditation for REGOs and (where the ROCs are to be purchased by the Authority under the relevant Direct PPA) ROCs, from the later of the Commercial Operations Date of its Facility and the commencement of supply to the Supplier until the sooner of: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expiry or earlier termination of this Framework Agreement; </w:t>
      </w:r>
    </w:p>
    <w:p w:rsidR="00AF194D" w:rsidRDefault="00AF53A3">
      <w:pPr>
        <w:numPr>
          <w:ilvl w:val="2"/>
          <w:numId w:val="9"/>
        </w:numPr>
        <w:tabs>
          <w:tab w:val="left" w:pos="1418"/>
        </w:tabs>
        <w:spacing w:after="230" w:line="360" w:lineRule="auto"/>
        <w:ind w:left="1418"/>
        <w:jc w:val="both"/>
      </w:pPr>
      <w:r>
        <w:rPr>
          <w:rFonts w:ascii="Arial" w:eastAsia="Arial" w:hAnsi="Arial" w:cs="Arial"/>
        </w:rPr>
        <w:t>the expiry or earlier termination of the relevant Direct PPA; and</w:t>
      </w:r>
    </w:p>
    <w:p w:rsidR="00AF194D" w:rsidRDefault="00AF53A3">
      <w:pPr>
        <w:numPr>
          <w:ilvl w:val="2"/>
          <w:numId w:val="9"/>
        </w:numPr>
        <w:tabs>
          <w:tab w:val="left" w:pos="1418"/>
        </w:tabs>
        <w:spacing w:after="230" w:line="360" w:lineRule="auto"/>
        <w:ind w:left="1418"/>
        <w:jc w:val="both"/>
      </w:pPr>
      <w:r>
        <w:rPr>
          <w:rFonts w:ascii="Arial" w:eastAsia="Arial" w:hAnsi="Arial" w:cs="Arial"/>
        </w:rPr>
        <w:t>the relevant Benefit no longer being the subject of this Framework Agreement following a Relevant Change.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lastRenderedPageBreak/>
        <w:t>SUPPLIER INTERFACE AGREEMENTS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relation to each relevant Facility owned or operated by a Generator, the Supplier and the </w:t>
      </w:r>
      <w:r w:rsidR="00DB77DC">
        <w:rPr>
          <w:rFonts w:ascii="Arial" w:eastAsia="Arial" w:hAnsi="Arial" w:cs="Arial"/>
        </w:rPr>
        <w:t>Generator</w:t>
      </w:r>
      <w:r>
        <w:rPr>
          <w:rFonts w:ascii="Arial" w:eastAsia="Arial" w:hAnsi="Arial" w:cs="Arial"/>
        </w:rPr>
        <w:t xml:space="preserve"> shall each promptly upon the Authority’s written request agree and enter into, and thereafter shall each comply with, a Supplier Interface Agreement or a Supplier Interface Agreement (MVRN Version) with the Generator in respect of the Facility, as applicable. The Supplier Interface Agreement will be consistent with the terms of this Annex 1.</w:t>
      </w:r>
    </w:p>
    <w:p w:rsidR="00DB77DC"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Notwithstanding any other provision of this Annex 1, the Supplier undertakes to seek any remedies and/or compensation from the Generator in accordance with the terms of the Supplier Interface Agreement prior to pursuing the Authority.   </w:t>
      </w:r>
    </w:p>
    <w:p w:rsidR="00DB77DC" w:rsidRPr="00DB77DC" w:rsidRDefault="00AF53A3" w:rsidP="00DB77DC">
      <w:pPr>
        <w:numPr>
          <w:ilvl w:val="1"/>
          <w:numId w:val="9"/>
        </w:numPr>
        <w:spacing w:after="230" w:line="360" w:lineRule="auto"/>
        <w:jc w:val="both"/>
        <w:rPr>
          <w:rFonts w:ascii="Arial" w:eastAsia="Arial" w:hAnsi="Arial" w:cs="Arial"/>
        </w:rPr>
      </w:pPr>
      <w:r>
        <w:rPr>
          <w:rFonts w:ascii="Arial" w:eastAsia="Arial" w:hAnsi="Arial" w:cs="Arial"/>
        </w:rPr>
        <w:t xml:space="preserve"> </w:t>
      </w:r>
      <w:r w:rsidR="00DB77DC" w:rsidRPr="00DB77DC">
        <w:rPr>
          <w:rFonts w:ascii="Arial" w:eastAsia="Arial" w:hAnsi="Arial" w:cs="Arial"/>
        </w:rPr>
        <w:t>The supplier interface agreement will be agreed by the parties and the generator as and when a Direct PPA is proposed and the Supplier is to have recourse first to the generator prior to pursuing the Authority.</w:t>
      </w:r>
    </w:p>
    <w:p w:rsidR="00AF194D" w:rsidRDefault="00DB77DC" w:rsidP="00DB77DC">
      <w:pPr>
        <w:numPr>
          <w:ilvl w:val="1"/>
          <w:numId w:val="9"/>
        </w:numPr>
        <w:spacing w:after="230" w:line="360" w:lineRule="auto"/>
        <w:jc w:val="both"/>
        <w:rPr>
          <w:rFonts w:ascii="Arial" w:eastAsia="Arial" w:hAnsi="Arial" w:cs="Arial"/>
        </w:rPr>
      </w:pPr>
      <w:r w:rsidRPr="00DB77DC">
        <w:rPr>
          <w:rFonts w:ascii="Arial" w:eastAsia="Arial" w:hAnsi="Arial" w:cs="Arial"/>
        </w:rPr>
        <w:t>The Supplier will go back to the generator first and only if the Supplier has recourse against the generator can this be escalated to the Authority"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PPA COSTS, DEFAULT COSTS AND LIABILITIES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Where the Generator is the Defaulting Party the Supplier shall include the amount of any Default Costs as an adjustment to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the Supplier is the Defaulting Party the amount of any Default Costs shall be included in the relevant Monthly Supplier PPA Statement and Monthly Supplier PPA Invoice as a deduction to the amount payable by the Authority (or, to the extent that results in a negative number, be payable to the Authority by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any PPA Costs shall be included in each Monthly Supplier PPA Statement and each Monthly Supplier PPA Invoice.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Except where the PPA Costs were incurred by the Generator or Authority as a result of the Supplier failing to act as a Reasonable and Prudent Operator, the Supplier shall be entitled to include the amount of any PPA Costs as an adjustment to the applicable Invoice Amount.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notify the Supplier of the amount of any PPA Costs or Default Costs claimed by it prior to the date on which the Supplier is obliged to render each Monthly Supplier PPA Statement.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Provided that the Supplier acts as a Reasonable and Prudent Operator any liability that it may incur in respect of any breach of this Annex by the Generator or in respect of any breach by the Authority or the Generator of any Supplier Interface Agreement or Supplier Interface Agreement (MVRN Version) (as applicable), including:</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is applicable) any failure to register any Metering System in accordance with the Supplier Interface Agreement;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(MVRN Version) is applicable) to appoint a MVRNA in accordance with the Supplier Interface Agreement (MVRN Version) or to procure that an accurate MVRN is submitted in accordance with the Supplier Interface Agreement (MVRN Version);</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may, unless the relevant circumstances are covered by any other payment or compensation provision in this Annex, be included as part of the adjustments in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Supplier does not act as a Reasonable and Prudent Operator it shall bear any costs, expenses and liabilities incurred by it in respect any breach of this Annex or in respect of any breach of any Supplier Interface Agreement or Supplier Interface Agreement (MVRN Version) (as applicable) and shall not be entitled to include such costs, expenses or liabilities in the applicable Invoice Amount.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BALANCING MECHANISM AND ANCILLARY SERVICES</w:t>
      </w:r>
    </w:p>
    <w:p w:rsidR="00AF194D" w:rsidRDefault="00AF53A3">
      <w:pPr>
        <w:spacing w:after="230" w:line="360" w:lineRule="auto"/>
        <w:ind w:left="709"/>
        <w:jc w:val="both"/>
        <w:rPr>
          <w:rFonts w:ascii="Arial" w:eastAsia="Arial" w:hAnsi="Arial" w:cs="Arial"/>
        </w:rPr>
      </w:pPr>
      <w:r>
        <w:rPr>
          <w:rFonts w:ascii="Arial" w:eastAsia="Arial" w:hAnsi="Arial" w:cs="Arial"/>
        </w:rPr>
        <w:t>The Authority shall use all reasonable endeavours to procure that the Generator shall not and (where the Supplier is the Registrant of the Metering System for a Facility) the Supplier shall not: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Ancillary Service Agreements (as defined in the CUSC) in respect of the Facility other than those that it is compelled to enter into in accordance with the Industry Documents (and it shall notify the other Party of any such agreements it does enter into in respect of the Facility);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participate in the Balancing Mechanism (as defined in the BSC) in respect of the Facility other than to the extent it is compelled to do so in accordance with Applicable Laws or Industry Documents;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other agreements with the Distribution Network Operator or Transmission System Operator concerning the constraint of the Facility for commercial </w:t>
      </w:r>
      <w:r>
        <w:rPr>
          <w:rFonts w:ascii="Arial" w:eastAsia="Arial" w:hAnsi="Arial" w:cs="Arial"/>
        </w:rPr>
        <w:lastRenderedPageBreak/>
        <w:t>gain other than to the extent it is compelled to do so in accordance with Applicable Laws or Industry Documents; or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with respect to the Generator, be party to an agreement with a third party for provision of services to vary the production (including Balancing Services) at the Facility without providing the Authority with written notification, upon which the Authority  has a right to vary the amount payable to the Supplier and Generator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PURCHASE OF AND PAYMENT FOR THE ELECTRICAL OUTPUT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will accept delivery of, and supply, the Relevant Electrical Output of each Facility pursuant to each Direct PPA at the price: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specified by the Authority in the notice provided in accordance with Paragraph 1 in respect of any Direct PPA; and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In accordance with the relevant Commissioning Payment Calculation and Post-Commissioning Payment Calculation.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Any Excess Electrical Output that has not been sold by the Generator to a third party offtaker (appropriate arrangements having been made to transfer such Excess Electrical Output to that offtaker) shall be sold by the Authority to the Supplier at the System Sell Price. The Supplier shall have no right and be under no obligation to purchase any Benefits associated with any Excess Electrical Output. Where, however, the Supplier does receive Benefits associated with any Excess Electrical Output then the Supplier shall ensure that, at the instruction of the Authority,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at least [ ]% of such Benefits are passed on to relevant Customers within the Customer Portfolio; or</w:t>
      </w:r>
    </w:p>
    <w:p w:rsidR="00AF194D" w:rsidRDefault="00AF53A3">
      <w:pPr>
        <w:numPr>
          <w:ilvl w:val="2"/>
          <w:numId w:val="9"/>
        </w:numPr>
        <w:tabs>
          <w:tab w:val="left" w:pos="1418"/>
        </w:tabs>
        <w:spacing w:after="230" w:line="360" w:lineRule="auto"/>
        <w:ind w:left="1418"/>
        <w:jc w:val="both"/>
      </w:pPr>
      <w:r>
        <w:rPr>
          <w:rFonts w:ascii="Arial" w:eastAsia="Arial" w:hAnsi="Arial" w:cs="Arial"/>
        </w:rPr>
        <w:t>an amount equal to at least [ ]% of the value of such Benefits is paid to the Authority on demand.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Authority shall effect delivery of the Relevant Electrical Output (and any Excess Electrical Output) to the Supplier by:</w:t>
      </w:r>
    </w:p>
    <w:p w:rsidR="00AF194D" w:rsidRDefault="00AF53A3">
      <w:pPr>
        <w:numPr>
          <w:ilvl w:val="2"/>
          <w:numId w:val="9"/>
        </w:numPr>
        <w:tabs>
          <w:tab w:val="left" w:pos="1418"/>
        </w:tabs>
        <w:spacing w:after="230" w:line="360" w:lineRule="auto"/>
        <w:ind w:left="1418"/>
        <w:jc w:val="both"/>
      </w:pPr>
      <w:r>
        <w:rPr>
          <w:rFonts w:ascii="Arial" w:eastAsia="Arial" w:hAnsi="Arial" w:cs="Arial"/>
        </w:rPr>
        <w:t>permitting the Supplier to become the Registrant of the Metering System in accordance with the Supplier Interface Agreement, so that the Relevant Electrical Output is credited to the Supplier’s Energy Account in accordance with the BSC; or</w:t>
      </w:r>
    </w:p>
    <w:p w:rsidR="00AF194D" w:rsidRDefault="00AF53A3">
      <w:pPr>
        <w:numPr>
          <w:ilvl w:val="2"/>
          <w:numId w:val="9"/>
        </w:numPr>
        <w:tabs>
          <w:tab w:val="left" w:pos="1418"/>
        </w:tabs>
        <w:spacing w:after="230" w:line="360" w:lineRule="auto"/>
        <w:ind w:left="1418"/>
        <w:jc w:val="both"/>
      </w:pPr>
      <w:r>
        <w:rPr>
          <w:rFonts w:ascii="Arial" w:eastAsia="Arial" w:hAnsi="Arial" w:cs="Arial"/>
        </w:rPr>
        <w:lastRenderedPageBreak/>
        <w:t>procuring that the Third Party Offtaker enters into an MVRN with the Supplier in accordance with the Supplier Interface Agreement (MVRN Version), so that the Relevant Electrical Output is transferred from the Third Party Offtaker’s Energy Account to the Supplier’s Energy Account in accordance with the BSC, (as applicable), and the Supplier shall accept delivery of the Relevant Electrical Output from the Authority in such manner.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Relevant Electrical Output and any Excess Electrical Output shall be calculated in accordance with all Applicable Laws and Industry Documents.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Supplier shall not supply any of the Relevant Electrical Output or any Excess Electrical Output to any consumers outside Great Britain.</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ab/>
        <w:t>MONTHLY STATEMENTS AND INVOICING</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Generator Statements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each Generator, with a copy to the Authority, a statement (“</w:t>
      </w:r>
      <w:r>
        <w:rPr>
          <w:rFonts w:ascii="Arial" w:eastAsia="Arial" w:hAnsi="Arial" w:cs="Arial"/>
          <w:b/>
        </w:rPr>
        <w:t>Monthly Generator PPA Statement</w:t>
      </w:r>
      <w:r>
        <w:rPr>
          <w:rFonts w:ascii="Arial" w:eastAsia="Arial" w:hAnsi="Arial" w:cs="Arial"/>
        </w:rPr>
        <w:t>”) in respect of each Direct PPA (using estimated data where the relevant data is not yet available to the Supplier but provided that, when the actual data becomes available, an updated Monthly Generator PPA Statement shall be sent to the Generator and copied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Relevant Electrical Output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of the Excess Electrical Output (if any)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applicable Transmission Loss Multiplier, line loss factor or other correction factor if applicable;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number of Relevant ROCs and  Relevant REGOs issued in respect of that Facility transferred to the Supplier’s Registry Account in that Month; </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Buy-Out Fund Payment Trigger, Late Payment Fund Trigger or Mutualisation Fund Trigger occurs during that Month, the relevant Buy-Out Fund Payment, Late Payment Fund Payment and/or Mutualisation Fund Payment for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lastRenderedPageBreak/>
        <w:t>the value of any FIT related payments due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number or value (as applicable) of New Benefits (if any) generated by the Facility and Transferred to the Supplier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Embedded Benefits (including Triad Benefits) realised by the Supplier in that Month in relation to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CM Levy Avoidance Benefit;</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GDUoS Charges (whether negative or positive) relating to the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any damages being due from the Generator under the relevant Direct PPA as a result of a breach of the relevant Direct PPA, including in respect of a failure of the Generator to give sufficient notice of the commencement or cessation of any unplanned outages;</w:t>
      </w:r>
    </w:p>
    <w:p w:rsidR="00AF194D" w:rsidRDefault="00AF53A3">
      <w:pPr>
        <w:numPr>
          <w:ilvl w:val="2"/>
          <w:numId w:val="9"/>
        </w:numPr>
        <w:tabs>
          <w:tab w:val="left" w:pos="1418"/>
        </w:tabs>
        <w:spacing w:after="230" w:line="360" w:lineRule="auto"/>
        <w:ind w:left="1418"/>
        <w:jc w:val="both"/>
      </w:pPr>
      <w:r>
        <w:rPr>
          <w:rFonts w:ascii="Arial" w:eastAsia="Arial" w:hAnsi="Arial" w:cs="Arial"/>
        </w:rPr>
        <w:t>any other information reasonably requested by the Authority; and</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total amount payable by the Authority to the relevant Generator (in such detail as required by the Authority and in any event including accurate information on the amount of VAT payable as part of this total). </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Supplier Statements and payment by the Supplier</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the Authority a statement (“</w:t>
      </w:r>
      <w:r>
        <w:rPr>
          <w:rFonts w:ascii="Arial" w:eastAsia="Arial" w:hAnsi="Arial" w:cs="Arial"/>
          <w:b/>
        </w:rPr>
        <w:t>Monthly Supplier PPA Statement</w:t>
      </w:r>
      <w:r>
        <w:rPr>
          <w:rFonts w:ascii="Arial" w:eastAsia="Arial" w:hAnsi="Arial" w:cs="Arial"/>
        </w:rPr>
        <w:t>”) (using estimated data where the relevant data is not yet available to the Supplier but provided that, when the actual data becomes available, an updated Monthly Supplier PPA Statement shall be sent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total amount due to all Generators in accordance with the relevant Monthly Generator PPA Statements;</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any PPA Costs; </w:t>
      </w:r>
    </w:p>
    <w:p w:rsidR="00AF194D" w:rsidRDefault="00AF53A3">
      <w:pPr>
        <w:numPr>
          <w:ilvl w:val="2"/>
          <w:numId w:val="9"/>
        </w:numPr>
        <w:tabs>
          <w:tab w:val="left" w:pos="1418"/>
        </w:tabs>
        <w:spacing w:after="230" w:line="360" w:lineRule="auto"/>
        <w:ind w:left="1418"/>
        <w:jc w:val="both"/>
      </w:pPr>
      <w:r>
        <w:rPr>
          <w:rFonts w:ascii="Arial" w:eastAsia="Arial" w:hAnsi="Arial" w:cs="Arial"/>
        </w:rPr>
        <w:t>any PPA Commission;</w:t>
      </w:r>
    </w:p>
    <w:p w:rsidR="00AF194D" w:rsidRDefault="00AF53A3">
      <w:pPr>
        <w:numPr>
          <w:ilvl w:val="2"/>
          <w:numId w:val="9"/>
        </w:numPr>
        <w:tabs>
          <w:tab w:val="left" w:pos="1418"/>
        </w:tabs>
        <w:spacing w:after="230" w:line="360" w:lineRule="auto"/>
        <w:ind w:left="1418"/>
        <w:jc w:val="both"/>
      </w:pPr>
      <w:r>
        <w:rPr>
          <w:rFonts w:ascii="Arial" w:eastAsia="Arial" w:hAnsi="Arial" w:cs="Arial"/>
        </w:rPr>
        <w:t>any Default Costs where the Supplier is the Defaulting Party; and</w:t>
      </w:r>
    </w:p>
    <w:p w:rsidR="00AF194D" w:rsidRDefault="00AF53A3">
      <w:pPr>
        <w:numPr>
          <w:ilvl w:val="2"/>
          <w:numId w:val="9"/>
        </w:numPr>
        <w:tabs>
          <w:tab w:val="left" w:pos="1418"/>
        </w:tabs>
        <w:spacing w:after="230" w:line="360" w:lineRule="auto"/>
        <w:ind w:left="1418"/>
        <w:jc w:val="both"/>
      </w:pPr>
      <w:r>
        <w:rPr>
          <w:rFonts w:ascii="Arial" w:eastAsia="Arial" w:hAnsi="Arial" w:cs="Arial"/>
        </w:rPr>
        <w:t>the total amount payable by the Supplier to the Authority.</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No later than the day which falls ten Working Days after the end of the relevant Month (“</w:t>
      </w:r>
      <w:r>
        <w:rPr>
          <w:rFonts w:ascii="Arial" w:eastAsia="Arial" w:hAnsi="Arial" w:cs="Arial"/>
          <w:b/>
        </w:rPr>
        <w:t>PPA Due Date</w:t>
      </w:r>
      <w:r>
        <w:rPr>
          <w:rFonts w:ascii="Arial" w:eastAsia="Arial" w:hAnsi="Arial" w:cs="Arial"/>
        </w:rPr>
        <w:t xml:space="preserve">”) the Supplier shall pay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set out in that Monthly Supplier PPA Statement;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in breach of the obligation under Paragraph 8.2 to provide a Monthly Supplier PPA Statement no such statement has been provided, a sum notified to the Supplier by the Authority (acting reasonably),</w:t>
      </w:r>
    </w:p>
    <w:p w:rsidR="00AF194D" w:rsidRDefault="00AF53A3">
      <w:pPr>
        <w:tabs>
          <w:tab w:val="left" w:pos="1418"/>
        </w:tabs>
        <w:spacing w:after="230" w:line="360" w:lineRule="auto"/>
        <w:ind w:left="709"/>
        <w:jc w:val="both"/>
        <w:rPr>
          <w:rFonts w:ascii="Arial" w:eastAsia="Arial" w:hAnsi="Arial" w:cs="Arial"/>
        </w:rPr>
      </w:pPr>
      <w:r>
        <w:rPr>
          <w:rFonts w:ascii="Arial" w:eastAsia="Arial" w:hAnsi="Arial" w:cs="Arial"/>
        </w:rPr>
        <w:t>in either case by direct bank transfer or equivalent instantaneous transfer of funds to credit the Authority’s account. The sum payable pursuant to this Paragraph 8.3 shall be referred to as the (“</w:t>
      </w:r>
      <w:r>
        <w:rPr>
          <w:rFonts w:ascii="Arial" w:eastAsia="Arial" w:hAnsi="Arial" w:cs="Arial"/>
          <w:b/>
        </w:rPr>
        <w:t>Initial PPA Payment</w:t>
      </w:r>
      <w:r>
        <w:rPr>
          <w:rFonts w:ascii="Arial" w:eastAsia="Arial" w:hAnsi="Arial" w:cs="Arial"/>
        </w:rPr>
        <w:t>”) in respect of the relevant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reconciliations are required, the Authority may prepare and submit, no sooner than ten Working Days after the end of the relevant Month, an invoice (the “Monthly Supplier PPA Invoice”) to the Supplier confirming the amount due from the Supplier in respect of the Relevant Electrical Output delivered to the Supplier in respect of that Month in accordance with Paragraph 7.3 and the Charges Annex.</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amount set out in the Monthly Supplier PPA Invoice differs from the Initial PPA Payment then the Supplier or the Authority (as appropriate) shall make a payment to the other in order to reconcile any amount overpaid or underpaid by the Supplier. Any payment made pursuant to this Paragraph 8: </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Authority shall be made to the same account used for the receipt of payments of Customer Commission as notified by the Authority to the Supplier; and</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Supplier shall be made to the Supplier’s bank account as notified to the Authority by the Supplier,</w:t>
      </w:r>
    </w:p>
    <w:p w:rsidR="00AF194D" w:rsidRDefault="00AF53A3">
      <w:pPr>
        <w:tabs>
          <w:tab w:val="left" w:pos="1418"/>
        </w:tabs>
        <w:spacing w:after="230" w:line="360" w:lineRule="auto"/>
        <w:ind w:left="709"/>
        <w:jc w:val="both"/>
        <w:rPr>
          <w:rFonts w:ascii="Arial" w:eastAsia="Arial" w:hAnsi="Arial" w:cs="Arial"/>
        </w:rPr>
      </w:pPr>
      <w:r>
        <w:rPr>
          <w:rFonts w:ascii="Arial" w:eastAsia="Arial" w:hAnsi="Arial" w:cs="Arial"/>
        </w:rPr>
        <w:t>in each case from time to time.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Authority disputes all or any part of a Monthly PPA Statement, or the Supplier disputes the Monthly Supplier PPA Invoice or the amount notified to the Supplier pursuant to Paragraph 8.3.2, the relevant Party shall notify the other within ten (10) days of the date of the Monthly PPA Statement, Monthly Supplier PPA Invoice or notification (as appropriate) and the Parties shall consult and co-operate with each other to seek to determine whether an error has occurred. Where the Parties fail to agree whether an error has occurred within ten (10) Working Days of a Party receiving notification from the other under this Paragraph 8.6, either Party may refer the matter </w:t>
      </w:r>
      <w:r>
        <w:rPr>
          <w:rFonts w:ascii="Arial" w:eastAsia="Arial" w:hAnsi="Arial" w:cs="Arial"/>
        </w:rPr>
        <w:lastRenderedPageBreak/>
        <w:t>for resolution under Clause 16. All undisputed amounts shall be paid by the debtor Party within the payment period in accordance with this Paragraph 8. If it is subsequently agreed or determined that any disputed amount has been wrongly withheld or paid then such amount shall incur interest in favour of the relevant Party at a rate of three percent ([ ]%) over LIBOR base rate (or other expressly agreed market rate of interest).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debtor Party shall pay interest on any amounts that are not paid by the PPA Due Date in accordance with Paragraph 8.3 (including where such non-payment was due to a process of reconciliation pursuant to Paragraph 8.5, or dispute pursuant to Paragraph 8.6) from the PPA Due Date until the date of actual payment at the same rate that is applicable to late payments of Customer Commission under Clause 5.7.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the Supplier receives revised data from any Agent in respect of the Relevant Electrical Output in any Month, the Supplier shall (subject to the consent of the Authority, not to be unreasonably withheld or delayed) be entitled to recalculate amounts due under this Framework Agreement and submit to the Authority an invoice or statement indicating any payments to be made by the Authority to the Supplier or by the Supplier to the Authority as a result. The relevant Party shall pay any such revised invoice within the payment period set out on the revised invoice. This Paragraph 8.8 shall survive the termination of this Agreement.</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GDUoS CHARGES</w:t>
      </w:r>
    </w:p>
    <w:p w:rsidR="00AF194D" w:rsidRDefault="00AF53A3">
      <w:pPr>
        <w:spacing w:after="230" w:line="360" w:lineRule="auto"/>
        <w:ind w:left="709"/>
        <w:jc w:val="both"/>
        <w:rPr>
          <w:rFonts w:ascii="Arial" w:eastAsia="Arial" w:hAnsi="Arial" w:cs="Arial"/>
        </w:rPr>
      </w:pPr>
      <w:r>
        <w:rPr>
          <w:rFonts w:ascii="Arial" w:eastAsia="Arial" w:hAnsi="Arial" w:cs="Arial"/>
        </w:rPr>
        <w:t>The Generator shall be responsible for the payment of all GDUoS Charges and accordingly, as between the Authority and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pay to the Supplier all positive GDUoS Charges which may be incurred by the Supplier to the Distribution Network Operator in relation to the Facility; and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Supplier shall pay to the Authority all negative GDUoS Charges received by the Supplier from the Distribution Network Operator in relation to the Facility.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NOMINATIONS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In order to convert the Relevant Electrical Output from Facilities into Contract Blocks, the Authority shall make a nomination (“</w:t>
      </w:r>
      <w:r>
        <w:rPr>
          <w:rFonts w:ascii="Arial" w:eastAsia="Arial" w:hAnsi="Arial" w:cs="Arial"/>
          <w:b/>
        </w:rPr>
        <w:t>Nomination</w:t>
      </w:r>
      <w:r>
        <w:rPr>
          <w:rFonts w:ascii="Arial" w:eastAsia="Arial" w:hAnsi="Arial" w:cs="Arial"/>
        </w:rPr>
        <w:t>“) to the Supplier of Contract Blocks. The Authority may, by telephone during Trading Hours on any Working Day up to the Last Fixing Day, inform the Supplier of a Nomination.</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 xml:space="preserve">All Nominations shall: </w:t>
      </w:r>
    </w:p>
    <w:p w:rsidR="00AF194D" w:rsidRDefault="00AF53A3">
      <w:pPr>
        <w:numPr>
          <w:ilvl w:val="2"/>
          <w:numId w:val="9"/>
        </w:numPr>
        <w:tabs>
          <w:tab w:val="left" w:pos="1418"/>
        </w:tabs>
        <w:spacing w:after="230" w:line="360" w:lineRule="auto"/>
        <w:ind w:left="1418"/>
        <w:jc w:val="both"/>
      </w:pPr>
      <w:r>
        <w:rPr>
          <w:rFonts w:ascii="Arial" w:eastAsia="Arial" w:hAnsi="Arial" w:cs="Arial"/>
        </w:rPr>
        <w:t>be related to Relevant Electrical Output generated after the relevant Commercial Operations Date or, if later, the date from which the Supplier is  required by the Authority to accept delivery of, and supply of, electricity from the relevant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define the volume of energy included in the Final Purchase Shape as either a Baseload Block or a Peakload Block</w:t>
      </w:r>
      <w:r>
        <w:rPr>
          <w:rFonts w:ascii="Arial" w:eastAsia="Arial" w:hAnsi="Arial" w:cs="Arial"/>
          <w:i/>
        </w:rPr>
        <w:t>;</w:t>
      </w:r>
      <w:r>
        <w:rPr>
          <w:rFonts w:ascii="Arial" w:eastAsia="Arial" w:hAnsi="Arial" w:cs="Arial"/>
        </w:rPr>
        <w:t xml:space="preserve"> and</w:t>
      </w:r>
    </w:p>
    <w:p w:rsidR="00AF194D" w:rsidRDefault="00AF53A3">
      <w:pPr>
        <w:numPr>
          <w:ilvl w:val="2"/>
          <w:numId w:val="9"/>
        </w:numPr>
        <w:tabs>
          <w:tab w:val="left" w:pos="1418"/>
        </w:tabs>
        <w:spacing w:after="230" w:line="360" w:lineRule="auto"/>
        <w:ind w:left="1418"/>
        <w:jc w:val="both"/>
      </w:pPr>
      <w:r>
        <w:rPr>
          <w:rFonts w:ascii="Arial" w:eastAsia="Arial" w:hAnsi="Arial" w:cs="Arial"/>
        </w:rPr>
        <w:t>specify which Contract Block(s) the price of which the Authority wishes to fix and the relevant period.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the event that the Nomination exceeds the number of Contract Blocks that have not yet been fixed the Authority will be required to unfix the price for a relevant number of Contract Blocks in order to make a Nomination.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SHAPING AND PRICING PROCESS FOR NOMINATED BLOCKS</w:t>
      </w:r>
    </w:p>
    <w:p w:rsidR="00AF194D" w:rsidRDefault="00AF53A3">
      <w:pPr>
        <w:spacing w:after="230" w:line="360" w:lineRule="auto"/>
        <w:ind w:left="709"/>
        <w:jc w:val="both"/>
        <w:rPr>
          <w:rFonts w:ascii="Arial" w:eastAsia="Arial" w:hAnsi="Arial" w:cs="Arial"/>
        </w:rPr>
      </w:pPr>
      <w:r>
        <w:rPr>
          <w:rFonts w:ascii="Arial" w:eastAsia="Arial" w:hAnsi="Arial" w:cs="Arial"/>
        </w:rPr>
        <w:t>In order to convert the Relevant Electrical Output into a price and volume suitable for inclusion in the Customer Portfolio, the Supplier shall carry out the following calculations as soon as reasonably practicable after the end of each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Relevant Electrical Output from each Facility in each Settlement Period during that Month shall be converted to a quantity of electricity on the Transmission System (“</w:t>
      </w:r>
      <w:r>
        <w:rPr>
          <w:rFonts w:ascii="Arial" w:eastAsia="Arial" w:hAnsi="Arial" w:cs="Arial"/>
          <w:b/>
        </w:rPr>
        <w:t>NBP Volume</w:t>
      </w:r>
      <w:r>
        <w:rPr>
          <w:rFonts w:ascii="Arial" w:eastAsia="Arial" w:hAnsi="Arial" w:cs="Arial"/>
        </w:rPr>
        <w:t>”) by the application of (as applicable) the Transmission Loss Multiplier and/or distribution line loss factor applicable to the Delivery Point;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NBP Volumes for all relevant Facilities shall be summed to produce an aggregate NBP Volume in that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This Paragraph 11 shall only apply in respect of a Facility after the Commercial Operations Date or, if later, the date from which the Supplier is required to purchase electricity from that Facility.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In calculating the Cost of Electricity the Supplier shall carry out the calculation set out under “Import Block Price” in the Charges Annex and shall include:</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of all of the Relevant Electrical Output purchased from the Authority in respect of that Month, adjusted for any Embedded Benefits related to avoided losses in accordance with the Charges Annex;</w:t>
      </w:r>
    </w:p>
    <w:p w:rsidR="00AF194D" w:rsidRDefault="00AF53A3">
      <w:pPr>
        <w:numPr>
          <w:ilvl w:val="2"/>
          <w:numId w:val="9"/>
        </w:numPr>
        <w:tabs>
          <w:tab w:val="left" w:pos="1418"/>
        </w:tabs>
        <w:spacing w:after="230" w:line="360" w:lineRule="auto"/>
        <w:ind w:left="1418"/>
        <w:jc w:val="both"/>
      </w:pPr>
      <w:r>
        <w:rPr>
          <w:rFonts w:ascii="Arial" w:eastAsia="Arial" w:hAnsi="Arial" w:cs="Arial"/>
        </w:rPr>
        <w:lastRenderedPageBreak/>
        <w:t xml:space="preserve">the income deemed to be received by the Supplier from selling any additional Relevant Electrical Output in accordance with Paragraph 11.4.1;   </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deemed to be incurred by the Supplier from purchasing electricity to make up any shortfall in the Relevant Electrical Output in accordance with Paragraph 11.4.2; and</w:t>
      </w:r>
    </w:p>
    <w:p w:rsidR="00AF194D" w:rsidRDefault="00AF53A3">
      <w:pPr>
        <w:numPr>
          <w:ilvl w:val="2"/>
          <w:numId w:val="9"/>
        </w:numPr>
        <w:tabs>
          <w:tab w:val="left" w:pos="1418"/>
        </w:tabs>
        <w:spacing w:after="230" w:line="360" w:lineRule="auto"/>
        <w:ind w:left="1418"/>
        <w:jc w:val="both"/>
      </w:pPr>
      <w:r>
        <w:rPr>
          <w:rFonts w:ascii="Arial" w:eastAsia="Arial" w:hAnsi="Arial" w:cs="Arial"/>
        </w:rPr>
        <w:t>the relevant Imbalance Fees.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order to determine the price of the Contract Block included in the Purchase Shape, the financial amounts referred to in Paragraph 11.4 shall be summed and divided by the Nomination included in the Final Purchase Shape to produce a price in £/MWh.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In the event that a Contract Block has not been Nominated in any given Month, the above costs shall be recovered by adjustment to the price of an alternative Contract Block.</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DELIVERY OF RELEVANT ROCS AND  RELEVANT REGOS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Each Party shall effect the Transfer of Relevant ROCs, Relevant REGOs and New Benefits, or any other benefits associated with the Electrical Output of each Facility subject to and in accordance with this Paragraph 12.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Authority shall sell with full title guarantee and as legal and beneficial owner free and clear of any adverse claims and encumbrances (but subject to any right the Benefits Authority may have to revoke any ROCs or REGOs), the Relevant ROCs, Relevant REGOs and New Benefits associated with the Electrical Output of each Facility to the Supplier.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ROCs, REGOs and New Benefits shall be Transferred under this Agreement only where they relate to the Relevant Electrical Output and none of the ROCs, REGOs and New Benefits to be Transferred under this Agreement relate to electricity consumed at the Facility at which such electricity was generated.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respect of each Relevant ROC, Relevant REGO and New Benefit attributable to the Relevant Electrical Output of a Facility that has been issued by the Benefits Authority and registered on the Generator’s Registry Account in any Month during the Supply Period the Authority shall, or shall procure that the Generator shall, within 10 Working Days of the end of each such Month submit a Transfer Request or otherwise comply with the guidelines and procedures for the time being and from time to time specified by the Benefits Authority (and/or any other person responsible for administering the </w:t>
      </w:r>
      <w:r>
        <w:rPr>
          <w:rFonts w:ascii="Arial" w:eastAsia="Arial" w:hAnsi="Arial" w:cs="Arial"/>
        </w:rPr>
        <w:lastRenderedPageBreak/>
        <w:t>Renewables and CHP Register) for the purpose of transferring Relevant ROCs, Relevant REGOs and/or relevant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Upon receipt by the Supplier of a Transfer Request from the Authority or a Generator pursuant to Paragraph 12.4 the Supplier shall, within 5 days (or such shorter period as may be prescribed by the applicable Laws and/or Directives), accept the Transfer Request (and all the Relevant ROCs, Relevant REGOs and/or New Benefits the subject of that Transfer Request) or otherwise comply with the guidelines and procedures for the time being and from time to time specified by the Benefits Authority (and/or any other person responsible for administering the Renewables and CHP Register) for the purpose of accepting transfers of Relevant ROCs, Relevant REGOs and/or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in co-operation with the other as appropriate, shall do all such other things that may be required by the Benefits Authority and whether before or after the date on which a Transfer of Relevant ROCs, Relevant REGOs or New Benefits occurs in accordance with this Paragraph 12 to perfect the transfer of such Relevant ROCs, Relevant REGOs and New Benefits from the Authority’s or the Generator’s Registry Account (as the case may be) to the Supplier’s Registry Account and to establish the entitlement of the Supplier to the Relevant ROCs, Relevant REGOs and New Benefits in respect of which the Authority has received payment.</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FAILURE TO TRANSFER A BENEFIT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Authority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Supplier of any Applicable Law and/or any of the obligations of the Supplier under this Agreement) the Authority or the Generator 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the Generator shall use its reasonable endeavours to remedy the Transfer Failure within 30 Working Days of the relevant Transfer Failure occurring (and the Supplier shall provide the Generator all reasonable assistance requested of it in relation thereto); whilst keeping the Authroity apprised, and</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where the Transfer Failure is not remedied (in whole or in part) within such 30 Working Days period (other than as a result of a breach by the Supplier of any Applicable Law and/or any of its obligations under this Agreement), the </w:t>
      </w:r>
      <w:r>
        <w:rPr>
          <w:rFonts w:ascii="Arial" w:eastAsia="Arial" w:hAnsi="Arial" w:cs="Arial"/>
        </w:rPr>
        <w:lastRenderedPageBreak/>
        <w:t xml:space="preserve">Generator shall compensate the Supplier by paying to the Supplier for each Benefit the subject of the Transfer Failure and which has not been Transferred within the above 30 Working Days (which compensation will be included in the next Monthly Generator PPA Statement to be produced thereafter (or, where no such statement is due to be produced, which may be invoiced separately by the Supplier)):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 xml:space="preserve"> (in respect of a Relevant ROC) the amount of the Buy-Out Price, the Buy-Out Fund Payment, the Late Payment Fund Payment and the Mutualisation Fund Payment (applicable to the Obligation Period in respect of which the Transfer Failure occurred), less the amount that would have been payable by the Supplier under this Agreement for such Relevant ROC had it been Transferred in accordance with this Agreement;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less the amount that would have been payable by the Supplier under this Agreement for such New Benefit had it been Transferred in accordance with this Agreement; and</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(in respect of a New Benefit) the New Benefit Value (applicable to the period in respect of which the Transfer Failure occurred), less the amount that would have been payable by the Supplier under this Agreement for such New Benefit had it been Transferred in accordance with this Agreement.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Supplier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Generator of any Applicable Law and/or any of its obligations under this Agreement) the Supplier 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Supplier shall use its reasonable endeavours to remedy the Transfer Failure within 30 Working Days of the relevant Transfer Failure occurring ( the Generator shall provide the Supplier all reasonable assistance requested of it in relation thereto); and </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 xml:space="preserve">where the Transfer Failure is not remedied (in whole or in part) within such 30 Working Days period (other than as a result of a breach by the Generator of any </w:t>
      </w:r>
      <w:r>
        <w:rPr>
          <w:rFonts w:ascii="Arial" w:eastAsia="Arial" w:hAnsi="Arial" w:cs="Arial"/>
        </w:rPr>
        <w:lastRenderedPageBreak/>
        <w:t>Applicable Law and/or any of its obligations under this Agreement), the Supplier shall either: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compensate the Generator and where applicable, the Authority, by paying to the Generator and where applicable, the Authority, for each Benefit the subject of the Transfer Failure and which has not been Transferred within the above 30 Working Days the amount that would have been payable to the Generator and where applicable, the Authority, under this Agreement for such Benefit had it been Transferred in accordance with this Agreement; or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 xml:space="preserve">(subject to the Generator having any necessary trading framework agreement in place and without placing any obligation on the Generator or the Authority to negotiate or sign any such agreement or provide any credit support to any third party), if the Generator is able within the following sixty (60) Working Days to sell the relevant Benefit to a third party, pay the Generator and where applicable, the Authority, the difference between the price obtained from the third party for the Benefit and the amount that would have been payable by the Supplier to the Generator and where applicable, the Authority, under this Agreement for such Benefit had it been Transferred in accordance with this Agreement.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the Supplier makes the required payment to the Generator and where applicable, the Authority, in respect of any Benefits in accordance with Paragraph 13.2, then the Generator shall in respect of the relevant Benefits continue to comply with its obligations under Paragraph 12 so as to enable the Benefits (if received by the Generator) to be Transferred to the Supplier and no payment shall be due in respect of such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Party that has not caused the Transfer Failure shall take all reasonably practicable steps to mitigate its loss arising from the failure of the other Party to submit or accept (as the case may be) a Transfer Request.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Other failure to transfer a Benefit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Where a Transfer Failure occurs otherwise than in circumstances described in Paragraphs 13.1 to 13.4 (including as a result of a failure or delay on the part of any Competent Authority or a Force Majeure), each Party shall use reasonable endeavours </w:t>
      </w:r>
      <w:r>
        <w:rPr>
          <w:rFonts w:ascii="Arial" w:eastAsia="Arial" w:hAnsi="Arial" w:cs="Arial"/>
        </w:rPr>
        <w:lastRenderedPageBreak/>
        <w:t>to rectify the Transfer Failure, and to transfer the relevant Benefit to the Supplier, as soon as is reasonably practicable in the circumstances.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Revocation of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 Benefit is the subject of a Revocation and either the Authority or the Supplier receive a revocation notice issued by the Benefits Authority or a copy thereof (“</w:t>
      </w:r>
      <w:r>
        <w:rPr>
          <w:rFonts w:ascii="Arial" w:eastAsia="Arial" w:hAnsi="Arial" w:cs="Arial"/>
          <w:b/>
        </w:rPr>
        <w:t>Revocation</w:t>
      </w:r>
      <w:r>
        <w:rPr>
          <w:rFonts w:ascii="Arial" w:eastAsia="Arial" w:hAnsi="Arial" w:cs="Arial"/>
        </w:rPr>
        <w:t xml:space="preserve"> </w:t>
      </w:r>
      <w:r>
        <w:rPr>
          <w:rFonts w:ascii="Arial" w:eastAsia="Arial" w:hAnsi="Arial" w:cs="Arial"/>
          <w:b/>
        </w:rPr>
        <w:t>Notice</w:t>
      </w:r>
      <w:r>
        <w:rPr>
          <w:rFonts w:ascii="Arial" w:eastAsia="Arial" w:hAnsi="Arial" w:cs="Arial"/>
        </w:rPr>
        <w:t>”) or otherwise become aware of the Revocation, that Party shall as soon as reasonably practicable, and in any event by no later than three (3) Working Days following receipt by it of the Revocation Notice, provide the other Party with a copy of the Revocation Notice, or inform the other Party of the Revocation if no Revocation Notice has been received.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Where there has been a Revocation the Authority and the Supplier shall, in co-operation with each other as appropriate, do all things reasonably required by the Benefits Authority or otherwise reasonably necessary, directly or indirectly, to procure that: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subject of the Revocation is rectified; </w:t>
      </w:r>
    </w:p>
    <w:p w:rsidR="00AF194D" w:rsidRDefault="00AF53A3">
      <w:pPr>
        <w:numPr>
          <w:ilvl w:val="2"/>
          <w:numId w:val="9"/>
        </w:numPr>
        <w:tabs>
          <w:tab w:val="left" w:pos="1418"/>
        </w:tabs>
        <w:spacing w:after="230" w:line="360" w:lineRule="auto"/>
        <w:ind w:left="1418"/>
        <w:jc w:val="both"/>
      </w:pPr>
      <w:r>
        <w:rPr>
          <w:rFonts w:ascii="Arial" w:eastAsia="Arial" w:hAnsi="Arial" w:cs="Arial"/>
        </w:rPr>
        <w:t>a replacement Benefit is issued to the Generator by the Benefits Authority in respect of the relevant Benefit (“</w:t>
      </w:r>
      <w:r>
        <w:rPr>
          <w:rFonts w:ascii="Arial" w:eastAsia="Arial" w:hAnsi="Arial" w:cs="Arial"/>
          <w:b/>
        </w:rPr>
        <w:t>Replacement Benefit</w:t>
      </w:r>
      <w:r>
        <w:rPr>
          <w:rFonts w:ascii="Arial" w:eastAsia="Arial" w:hAnsi="Arial" w:cs="Arial"/>
        </w:rPr>
        <w:t>”);</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 Transfer to the Supplier of such Replacement Benefit occurs prior to the Benefits Long Stop Date applicable to the date that the relevant Benefit subject to the Revocation was first issued; and </w:t>
      </w:r>
    </w:p>
    <w:p w:rsidR="00AF194D" w:rsidRDefault="00AF53A3">
      <w:pPr>
        <w:numPr>
          <w:ilvl w:val="2"/>
          <w:numId w:val="9"/>
        </w:numPr>
        <w:tabs>
          <w:tab w:val="left" w:pos="1418"/>
        </w:tabs>
        <w:spacing w:after="230" w:line="360" w:lineRule="auto"/>
        <w:ind w:left="1418"/>
        <w:jc w:val="both"/>
      </w:pPr>
      <w:r>
        <w:rPr>
          <w:rFonts w:ascii="Arial" w:eastAsia="Arial" w:hAnsi="Arial" w:cs="Arial"/>
        </w:rPr>
        <w:t>no further Revocation of the Relevant Benefits occurs.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To the extent that the Generator is unable to complete Transfers of the Replacement Benefits, the Party that was in possession of the relevant Benefit at the time that the event specified by the Benefits Authority as being the reason for the Revocation occurred shall be in default and the appropriate provisions of this Paragraph 13 shall apply.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In the event that the Generator is in default in accordance with Paragraph 13.8 and a Benefit has been Transferred and then revoked:</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the Supplier has not already paid the Generator for such Benefit, Paragraph 13.1 shall apply; or</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lastRenderedPageBreak/>
        <w:t>where the Supplier has already paid the Generator for such Benefit, the Generator shall pay to the Supplier:</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ROC, the: (i) Buy-Out Price; and the (ii) Buy-Out Fund Payment, Late Payment Fund Payment and Mutualisation Fund Payment, as appropriate, applicable in each case to the Obligation Period in respect of which the Transfer Failure occurred;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and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New Benefit) the New Benefit Value (applicable to the period in respect of which the Transfer Failure occurred).</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Relevant ROCs, Relevant REGOs and New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 in respect of each Transferred ROC, Transferred REGO and Transferred New Benefit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ROC Payment;</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Buy-Out Fund Payment, Late Payment Fund Payment and Mutualisation Fund Payment,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REGO Payment; and</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New Benefit Payment,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Such amounts shall be included in the next Monthly Generator PPA Statement and Monthly Generator PPA Invoice following delivery of the relevant Benefits.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Embedded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Monthly, the amount of any Embedded Benefit Payment due (excluding any Triad Benefit Payment) in respect of that Month, which shall be included in the next Monthly Generator PPA Statement and Monthly Generator PPA Invoice; and</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lastRenderedPageBreak/>
        <w:t>annually, the amount of any Triad Benefit Payment due in respect of the relevant Financial Year, which shall be included in the first Monthly Generator PPA Statement and Monthly Generator PPA Invoice following the Month in which the Supplier first receives Triad Benefit in respect of the relevant Financial Year.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METERING AND OTHER EQUIPMENT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ensure that the Relevant Electrical Output for each Facility is measured by a Metering System at the relevant Delivery Point (unless the Parties agree that it is to be located elsewhere) in accordance with the Industry Rules.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If either Party reasonably believes that a Metering System is registering inaccurately, such Party (“</w:t>
      </w:r>
      <w:r>
        <w:rPr>
          <w:rFonts w:ascii="Arial" w:eastAsia="Arial" w:hAnsi="Arial" w:cs="Arial"/>
          <w:b/>
        </w:rPr>
        <w:t>Notifying</w:t>
      </w:r>
      <w:r>
        <w:rPr>
          <w:rFonts w:ascii="Arial" w:eastAsia="Arial" w:hAnsi="Arial" w:cs="Arial"/>
        </w:rPr>
        <w:t xml:space="preserve"> </w:t>
      </w:r>
      <w:r>
        <w:rPr>
          <w:rFonts w:ascii="Arial" w:eastAsia="Arial" w:hAnsi="Arial" w:cs="Arial"/>
          <w:b/>
        </w:rPr>
        <w:t>Party</w:t>
      </w:r>
      <w:r>
        <w:rPr>
          <w:rFonts w:ascii="Arial" w:eastAsia="Arial" w:hAnsi="Arial" w:cs="Arial"/>
        </w:rPr>
        <w:t>”) shall notify the other Party and the Authority shall procure that the Generator arranges for it to be inspected and tested in accordance with any relevant statutory or electricity industry requirements (including the requirements of the BSC) by a person who is an appropriate person to test the Export Meter in question. The cost of inspecting the Metering System shall be determined as follows:</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Metering System is found to be operating within the relevant limits of accuracy, the cost of inspection and testing will be borne by the Notifying Party; or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if the Metering System is found to be operating outside the relevant limits of accuracy, the Metering System shall be repaired and recalibrated or replaced as soon as practicable and the costs of such testing, repair, recalibration and/or replacement shall be borne by the Generator.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For the purposes of the relevant Monthly Generator PPA Statement, the Parties shall seek to agree (on the basis of the best available evidence) the date on which the inaccuracy of the relevant Metering System arose and the amount of the Relevant Electrical Output during each Settlement Period after such date until any repair, recalibration or replacement has been completed and in the absence of agreement the matter shall be resolved in accordance with Clause 16</w:t>
      </w:r>
    </w:p>
    <w:p w:rsidR="00AF194D" w:rsidRDefault="00AF194D">
      <w:pPr>
        <w:spacing w:after="230" w:line="360" w:lineRule="auto"/>
        <w:ind w:left="709"/>
        <w:rPr>
          <w:rFonts w:ascii="Arial" w:eastAsia="Arial" w:hAnsi="Arial" w:cs="Arial"/>
        </w:rPr>
      </w:pPr>
    </w:p>
    <w:p w:rsidR="00AF194D" w:rsidRDefault="00AF53A3">
      <w:pPr>
        <w:numPr>
          <w:ilvl w:val="0"/>
          <w:numId w:val="9"/>
        </w:numPr>
        <w:spacing w:after="0" w:line="240" w:lineRule="auto"/>
        <w:jc w:val="both"/>
        <w:rPr>
          <w:rFonts w:ascii="Arial" w:eastAsia="Arial" w:hAnsi="Arial" w:cs="Arial"/>
        </w:rPr>
      </w:pPr>
      <w:r>
        <w:rPr>
          <w:rFonts w:ascii="Arial" w:eastAsia="Arial" w:hAnsi="Arial" w:cs="Arial"/>
          <w:b/>
        </w:rPr>
        <w:t>DIRECT PPAs</w:t>
      </w:r>
    </w:p>
    <w:p w:rsidR="00AF194D" w:rsidRDefault="00AF194D">
      <w:pPr>
        <w:spacing w:after="0" w:line="240" w:lineRule="auto"/>
        <w:ind w:left="709"/>
        <w:rPr>
          <w:rFonts w:ascii="Arial" w:eastAsia="Arial" w:hAnsi="Arial" w:cs="Arial"/>
          <w:b/>
        </w:rPr>
      </w:pPr>
    </w:p>
    <w:p w:rsidR="00AF194D" w:rsidRDefault="00AF53A3">
      <w:pPr>
        <w:spacing w:after="230" w:line="360" w:lineRule="auto"/>
        <w:ind w:left="709"/>
        <w:rPr>
          <w:rFonts w:ascii="Arial" w:eastAsia="Arial" w:hAnsi="Arial" w:cs="Arial"/>
        </w:rPr>
      </w:pPr>
      <w:r>
        <w:rPr>
          <w:rFonts w:ascii="Arial" w:eastAsia="Arial" w:hAnsi="Arial" w:cs="Arial"/>
        </w:rPr>
        <w:lastRenderedPageBreak/>
        <w:t>The Parties acknowledge that the Authority may enter into one or more Direct PPAs. Should it do so, then the Parties will seek to agree, each acting reasonably, any changes to this Framework Agreement which are necessary to provide for such Direct PPA on the basis of the following principles: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terms set out in this Annex 1 shall be the basis on which such Direct PPA shall be dealt with;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prejudice to Paragraph 15.1, such changes as are necessary shall be made to the principles set out in this Annex 2 which are required in order to reflect the terms of the Direct PPA including, without limitation, the generation technology concerned and any commercial provisions of the relevant PPA;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a charges annex analogous to the Charges Annex will be established in order to govern the relevant financial terms which will govern the contractual arrangements between the Parties in relation to the Direct PPA. This shall include those percentages [</w:t>
      </w:r>
      <w:r>
        <w:rPr>
          <w:rFonts w:ascii="Arial" w:eastAsia="Arial" w:hAnsi="Arial" w:cs="Arial"/>
          <w:color w:val="FF0000"/>
        </w:rPr>
        <w:t>to be  agreed</w:t>
      </w:r>
      <w:r>
        <w:rPr>
          <w:rFonts w:ascii="Arial" w:eastAsia="Arial" w:hAnsi="Arial" w:cs="Arial"/>
        </w:rPr>
        <w:t xml:space="preserve">] communicated to the Supplier by the Authority;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limitation to Paragraph 16.3, should the Direct PPA involve solar generation or gasification, the Imbalance Fee will be as [ </w:t>
      </w:r>
      <w:r>
        <w:rPr>
          <w:rFonts w:ascii="Arial" w:eastAsia="Arial" w:hAnsi="Arial" w:cs="Arial"/>
          <w:color w:val="FF0000"/>
        </w:rPr>
        <w:t>to be agreed</w:t>
      </w:r>
      <w:r>
        <w:rPr>
          <w:rFonts w:ascii="Arial" w:eastAsia="Arial" w:hAnsi="Arial" w:cs="Arial"/>
        </w:rPr>
        <w:t>]  in the Charges Annex; and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Direct PPA will include provisions dealing with forecasting and maintenance which are analogous to those set out at Annex 7, with such changes as are necessary.</w:t>
      </w:r>
    </w:p>
    <w:p w:rsidR="00AF194D" w:rsidRDefault="00AF194D">
      <w:pPr>
        <w:spacing w:after="230" w:line="360" w:lineRule="auto"/>
        <w:ind w:left="709" w:hanging="709"/>
        <w:jc w:val="both"/>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pPr>
      <w:r>
        <w:br w:type="page"/>
      </w: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2 - CHARGES ANNEX </w:t>
      </w:r>
    </w:p>
    <w:p w:rsidR="00AF194D" w:rsidRDefault="00AF53A3">
      <w:pPr>
        <w:widowControl w:val="0"/>
        <w:spacing w:after="0" w:line="276" w:lineRule="auto"/>
        <w:jc w:val="both"/>
        <w:rPr>
          <w:rFonts w:ascii="Arial" w:eastAsia="Arial" w:hAnsi="Arial" w:cs="Arial"/>
          <w:sz w:val="16"/>
          <w:szCs w:val="16"/>
        </w:rPr>
      </w:pPr>
      <w:r>
        <w:rPr>
          <w:rFonts w:ascii="Arial" w:eastAsia="Arial" w:hAnsi="Arial" w:cs="Arial"/>
          <w:sz w:val="16"/>
          <w:szCs w:val="16"/>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Definitions</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following terms shall have the following meanings:</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bl>
      <w:tblPr>
        <w:tblStyle w:val="a1"/>
        <w:tblW w:w="8190" w:type="dxa"/>
        <w:tblBorders>
          <w:top w:val="nil"/>
          <w:left w:val="nil"/>
          <w:bottom w:val="nil"/>
          <w:right w:val="nil"/>
          <w:insideH w:val="nil"/>
          <w:insideV w:val="nil"/>
        </w:tblBorders>
        <w:tblLayout w:type="fixed"/>
        <w:tblLook w:val="0600" w:firstRow="0" w:lastRow="0" w:firstColumn="0" w:lastColumn="0" w:noHBand="1" w:noVBand="1"/>
      </w:tblPr>
      <w:tblGrid>
        <w:gridCol w:w="3300"/>
        <w:gridCol w:w="4890"/>
      </w:tblGrid>
      <w:tr w:rsidR="00AF194D">
        <w:trPr>
          <w:trHeight w:val="12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right="1105"/>
              <w:jc w:val="both"/>
              <w:rPr>
                <w:rFonts w:ascii="Arial" w:eastAsia="Arial" w:hAnsi="Arial" w:cs="Arial"/>
                <w:b/>
              </w:rPr>
            </w:pPr>
            <w:r>
              <w:rPr>
                <w:rFonts w:ascii="Arial" w:eastAsia="Arial" w:hAnsi="Arial" w:cs="Arial"/>
                <w:b/>
              </w:rPr>
              <w:t>Embedded Benefit Percentage</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tc>
      </w:tr>
      <w:tr w:rsidR="00AF194D">
        <w:trPr>
          <w:trHeight w:val="37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Imbalance Fee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Solar PV – [</w:t>
            </w:r>
            <w:r>
              <w:rPr>
                <w:rFonts w:ascii="Arial" w:eastAsia="Arial" w:hAnsi="Arial" w:cs="Arial"/>
                <w:color w:val="FF0000"/>
              </w:rPr>
              <w:t>to be agreed</w:t>
            </w: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b/>
                <w:i/>
              </w:rPr>
            </w:pPr>
            <w:r>
              <w:rPr>
                <w:rFonts w:ascii="Arial" w:eastAsia="Arial" w:hAnsi="Arial" w:cs="Arial"/>
              </w:rPr>
              <w:t>Gasification (being electricity generated from the conversion of waste or biomass into a liquid or gaseous fuel, or both, for use in a generating station, by the processes of gasification or pyrolysis or any combination thereof) – [</w:t>
            </w:r>
            <w:r>
              <w:rPr>
                <w:rFonts w:ascii="Arial" w:eastAsia="Arial" w:hAnsi="Arial" w:cs="Arial"/>
                <w:color w:val="FF0000"/>
              </w:rPr>
              <w:t>to be agreed</w:t>
            </w:r>
            <w:r>
              <w:rPr>
                <w:rFonts w:ascii="Arial" w:eastAsia="Arial" w:hAnsi="Arial" w:cs="Arial"/>
              </w:rPr>
              <w:t>]%</w:t>
            </w:r>
            <w:r>
              <w:rPr>
                <w:rFonts w:ascii="Arial" w:eastAsia="Arial" w:hAnsi="Arial" w:cs="Arial"/>
                <w:b/>
                <w:i/>
              </w:rPr>
              <w:t xml:space="preserve"> </w:t>
            </w:r>
          </w:p>
        </w:tc>
      </w:tr>
      <w:tr w:rsidR="00AF194D">
        <w:trPr>
          <w:trHeight w:val="140"/>
        </w:trPr>
        <w:tc>
          <w:tcPr>
            <w:tcW w:w="330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276" w:lineRule="auto"/>
              <w:ind w:left="700"/>
              <w:jc w:val="both"/>
              <w:rPr>
                <w:rFonts w:ascii="Arial" w:eastAsia="Arial" w:hAnsi="Arial" w:cs="Arial"/>
                <w:b/>
              </w:rPr>
            </w:pP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360" w:lineRule="auto"/>
              <w:jc w:val="both"/>
              <w:rPr>
                <w:rFonts w:ascii="Arial" w:eastAsia="Arial" w:hAnsi="Arial" w:cs="Arial"/>
              </w:rPr>
            </w:pPr>
          </w:p>
        </w:tc>
      </w:tr>
      <w:tr w:rsidR="00AF194D">
        <w:trPr>
          <w:trHeight w:val="10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New Benefit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r>
      <w:tr w:rsidR="00AF194D">
        <w:trPr>
          <w:trHeight w:val="96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Recycling Percentage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 xml:space="preserve">{ </w:t>
            </w:r>
            <w:r>
              <w:rPr>
                <w:rFonts w:ascii="Arial" w:eastAsia="Arial" w:hAnsi="Arial" w:cs="Arial"/>
                <w:color w:val="FF0000"/>
              </w:rPr>
              <w:t>to be agreed</w:t>
            </w:r>
            <w:r>
              <w:rPr>
                <w:rFonts w:ascii="Arial" w:eastAsia="Arial" w:hAnsi="Arial" w:cs="Arial"/>
              </w:rPr>
              <w:t>] %</w:t>
            </w:r>
          </w:p>
        </w:tc>
      </w:tr>
      <w:tr w:rsidR="00AF194D">
        <w:trPr>
          <w:trHeight w:val="200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sz w:val="16"/>
                <w:szCs w:val="16"/>
              </w:rPr>
            </w:pPr>
            <w:r>
              <w:rPr>
                <w:rFonts w:ascii="Arial" w:eastAsia="Arial" w:hAnsi="Arial" w:cs="Arial"/>
                <w:b/>
              </w:rPr>
              <w:t>REO</w:t>
            </w:r>
            <w:r>
              <w:rPr>
                <w:rFonts w:ascii="Arial" w:eastAsia="Arial" w:hAnsi="Arial" w:cs="Arial"/>
                <w:b/>
                <w:sz w:val="16"/>
                <w:szCs w:val="16"/>
              </w:rPr>
              <w:t>NBP</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 xml:space="preserve">Relevant Electrical Output adjusted to the volume at the NBP by application of the relevant Transmission Loss Multiplier or line loss factor </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lastRenderedPageBreak/>
              <w:t>Settlement Buy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the N2EX Hourly Auction Index, except for the COD Interim Period where it shall be System Buy Price</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Settlement Sell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rPr>
                <w:rFonts w:ascii="Arial" w:eastAsia="Arial" w:hAnsi="Arial" w:cs="Arial"/>
              </w:rPr>
            </w:pPr>
            <w:r>
              <w:rPr>
                <w:rFonts w:ascii="Arial" w:eastAsia="Arial" w:hAnsi="Arial" w:cs="Arial"/>
              </w:rPr>
              <w:t>the N2EX Hourly Auction Index, except for the COD Interim Period where it shall be System Sell Price</w:t>
            </w:r>
          </w:p>
          <w:p w:rsidR="00AF194D" w:rsidRDefault="00AF194D">
            <w:pPr>
              <w:widowControl w:val="0"/>
              <w:spacing w:after="0" w:line="360" w:lineRule="auto"/>
              <w:ind w:left="141"/>
              <w:rPr>
                <w:rFonts w:ascii="Arial" w:eastAsia="Arial" w:hAnsi="Arial" w:cs="Arial"/>
              </w:rPr>
            </w:pPr>
          </w:p>
          <w:p w:rsidR="00AF194D" w:rsidRDefault="00AF53A3">
            <w:pPr>
              <w:widowControl w:val="0"/>
              <w:spacing w:after="0" w:line="276" w:lineRule="auto"/>
              <w:ind w:left="141"/>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Triad</w:t>
            </w:r>
          </w:p>
        </w:tc>
        <w:tc>
          <w:tcPr>
            <w:tcW w:w="4890" w:type="dxa"/>
            <w:tcBorders>
              <w:top w:val="nil"/>
              <w:left w:val="nil"/>
              <w:bottom w:val="nil"/>
              <w:right w:val="nil"/>
            </w:tcBorders>
            <w:tcMar>
              <w:top w:w="100" w:type="dxa"/>
              <w:left w:w="100" w:type="dxa"/>
              <w:bottom w:w="100" w:type="dxa"/>
              <w:right w:w="100" w:type="dxa"/>
            </w:tcMar>
          </w:tcPr>
          <w:p w:rsidR="00AF194D" w:rsidRDefault="00AF53A3">
            <w:pPr>
              <w:spacing w:after="240" w:line="360" w:lineRule="auto"/>
              <w:ind w:left="141"/>
              <w:rPr>
                <w:rFonts w:ascii="Arial" w:eastAsia="Arial" w:hAnsi="Arial" w:cs="Arial"/>
              </w:rPr>
            </w:pPr>
            <w:r>
              <w:rPr>
                <w:rFonts w:ascii="Arial" w:eastAsia="Arial" w:hAnsi="Arial" w:cs="Arial"/>
              </w:rPr>
              <w:t>the three Settlement Periods of highest transmission system demand forming the System Demand Peak (as defined in the Transmission System Operator’s Statement of the Use of System Charging Methodology and Statement of the Use of System Charges) for the relevant Financial Year.</w:t>
            </w:r>
          </w:p>
        </w:tc>
      </w:tr>
    </w:tbl>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85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Payments before the Commercial Operations Date (Commissioning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Commissioning Payment Calculation is, for each Settlement Period in respect of the Facility under the Direct/new PPA: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(SSP x REONBP) + EB + C + CP  +/- GC</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SSP        </w:t>
      </w:r>
      <w:r>
        <w:rPr>
          <w:rFonts w:ascii="Arial" w:eastAsia="Arial" w:hAnsi="Arial" w:cs="Arial"/>
        </w:rPr>
        <w:tab/>
        <w:t>is System Sell Price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REO       </w:t>
      </w:r>
      <w:r>
        <w:rPr>
          <w:rFonts w:ascii="Arial" w:eastAsia="Arial" w:hAnsi="Arial" w:cs="Arial"/>
        </w:rPr>
        <w:tab/>
        <w:t>is Relevant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EB          </w:t>
      </w:r>
      <w:r>
        <w:rPr>
          <w:rFonts w:ascii="Arial" w:eastAsia="Arial" w:hAnsi="Arial" w:cs="Arial"/>
        </w:rPr>
        <w:tab/>
        <w:t>is the Embedded Benefit Payment</w:t>
      </w: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C                 is the relevant PPA Commission (if applicable as result of nominations during this period)</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lastRenderedPageBreak/>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t xml:space="preserve"> </w:t>
      </w:r>
    </w:p>
    <w:p w:rsidR="00AF194D" w:rsidRDefault="00AF194D">
      <w:pPr>
        <w:widowControl w:val="0"/>
        <w:spacing w:after="0" w:line="360" w:lineRule="auto"/>
        <w:ind w:left="1417" w:hanging="1417"/>
        <w:jc w:val="both"/>
        <w:rPr>
          <w:rFonts w:ascii="Arial" w:eastAsia="Arial" w:hAnsi="Arial" w:cs="Arial"/>
        </w:rPr>
      </w:pP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GC         </w:t>
      </w:r>
      <w:r>
        <w:rPr>
          <w:rFonts w:ascii="Arial" w:eastAsia="Arial" w:hAnsi="Arial" w:cs="Arial"/>
        </w:rPr>
        <w:tab/>
        <w:t>is the GDUoS Charges</w:t>
      </w:r>
    </w:p>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705"/>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Payments after the Commercial Operations Date (Post-Commissioning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 each Settlement Period, the Supplier will pay to the Authority a sum calculated in accordance with the following formula: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firstLine="700"/>
        <w:jc w:val="both"/>
        <w:rPr>
          <w:rFonts w:ascii="Arial" w:eastAsia="Arial" w:hAnsi="Arial" w:cs="Arial"/>
        </w:rPr>
      </w:pPr>
      <w:r>
        <w:rPr>
          <w:rFonts w:ascii="Arial" w:eastAsia="Arial" w:hAnsi="Arial" w:cs="Arial"/>
        </w:rPr>
        <w:t>(REO x EPP) + EB + CP + C + +/- GC – TF +/- OA + EEO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REO         is the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EB           is the Embedded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C             is the relevant PPA Commission</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GC   </w:t>
      </w:r>
      <w:r>
        <w:rPr>
          <w:rFonts w:ascii="Arial" w:eastAsia="Arial" w:hAnsi="Arial" w:cs="Arial"/>
        </w:rPr>
        <w:tab/>
      </w:r>
      <w:r>
        <w:rPr>
          <w:rFonts w:ascii="Arial" w:eastAsia="Arial" w:hAnsi="Arial" w:cs="Arial"/>
        </w:rPr>
        <w:tab/>
        <w:t>is the GDUoS Charge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3 and to which the Authority, in its absolute discretion, agrees in writing</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EEO     </w:t>
      </w:r>
      <w:r>
        <w:rPr>
          <w:rFonts w:ascii="Arial" w:eastAsia="Arial" w:hAnsi="Arial" w:cs="Arial"/>
        </w:rPr>
        <w:tab/>
        <w:t>is a payment in respect of Excess Electrical Output measured at the System Sell Price</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Import Block Price</w:t>
      </w:r>
    </w:p>
    <w:p w:rsidR="00AF194D" w:rsidRDefault="00AF53A3">
      <w:pPr>
        <w:widowControl w:val="0"/>
        <w:spacing w:after="0" w:line="276" w:lineRule="auto"/>
        <w:jc w:val="both"/>
        <w:rPr>
          <w:rFonts w:ascii="Arial" w:eastAsia="Arial" w:hAnsi="Arial" w:cs="Arial"/>
          <w:b/>
        </w:rPr>
      </w:pPr>
      <w:r>
        <w:rPr>
          <w:rFonts w:ascii="Arial" w:eastAsia="Arial" w:hAnsi="Arial" w:cs="Arial"/>
          <w:b/>
        </w:rPr>
        <w:lastRenderedPageBreak/>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The price of a Contract Block supplied pursuant any Direct PPA shall be calculated in 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tbl>
      <w:tblPr>
        <w:tblStyle w:val="a2"/>
        <w:tblW w:w="8820" w:type="dxa"/>
        <w:tblBorders>
          <w:top w:val="nil"/>
          <w:left w:val="nil"/>
          <w:bottom w:val="nil"/>
          <w:right w:val="nil"/>
          <w:insideH w:val="nil"/>
          <w:insideV w:val="nil"/>
        </w:tblBorders>
        <w:tblLayout w:type="fixed"/>
        <w:tblLook w:val="0600" w:firstRow="0" w:lastRow="0" w:firstColumn="0" w:lastColumn="0" w:noHBand="1" w:noVBand="1"/>
      </w:tblPr>
      <w:tblGrid>
        <w:gridCol w:w="4920"/>
        <w:gridCol w:w="3900"/>
      </w:tblGrid>
      <w:tr w:rsidR="00AF194D">
        <w:trPr>
          <w:trHeight w:val="920"/>
        </w:trPr>
        <w:tc>
          <w:tcPr>
            <w:tcW w:w="4920" w:type="dxa"/>
            <w:tcBorders>
              <w:top w:val="nil"/>
              <w:left w:val="nil"/>
              <w:bottom w:val="nil"/>
              <w:right w:val="nil"/>
            </w:tcBorders>
            <w:tcMar>
              <w:top w:w="100" w:type="dxa"/>
              <w:left w:w="100" w:type="dxa"/>
              <w:bottom w:w="100" w:type="dxa"/>
              <w:right w:w="100" w:type="dxa"/>
            </w:tcMar>
          </w:tcPr>
          <w:p w:rsidR="00AF194D" w:rsidRDefault="00AF53A3">
            <w:pPr>
              <w:widowControl w:val="0"/>
              <w:spacing w:before="240" w:after="240" w:line="360" w:lineRule="auto"/>
              <w:jc w:val="both"/>
              <w:rPr>
                <w:rFonts w:ascii="Arial" w:eastAsia="Arial" w:hAnsi="Arial" w:cs="Arial"/>
              </w:rPr>
            </w:pPr>
            <w:r>
              <w:rPr>
                <w:rFonts w:ascii="Arial" w:eastAsia="Arial" w:hAnsi="Arial" w:cs="Arial"/>
                <w:noProof/>
              </w:rPr>
              <w:drawing>
                <wp:inline distT="114300" distB="114300" distL="114300" distR="114300">
                  <wp:extent cx="2809875" cy="63817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809875" cy="638175"/>
                          </a:xfrm>
                          <a:prstGeom prst="rect">
                            <a:avLst/>
                          </a:prstGeom>
                          <a:ln/>
                        </pic:spPr>
                      </pic:pic>
                    </a:graphicData>
                  </a:graphic>
                </wp:inline>
              </w:drawing>
            </w:r>
          </w:p>
        </w:tc>
        <w:tc>
          <w:tcPr>
            <w:tcW w:w="39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80"/>
              <w:rPr>
                <w:rFonts w:ascii="Arial" w:eastAsia="Arial" w:hAnsi="Arial" w:cs="Arial"/>
              </w:rPr>
            </w:pPr>
            <w:r>
              <w:rPr>
                <w:rFonts w:ascii="Arial" w:eastAsia="Arial" w:hAnsi="Arial" w:cs="Arial"/>
              </w:rPr>
              <w:t xml:space="preserve"> </w:t>
            </w:r>
          </w:p>
        </w:tc>
      </w:tr>
    </w:tbl>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at NBP calculated as (REO x EPP)</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where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108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r>
        <w:rPr>
          <w:rFonts w:ascii="Arial" w:eastAsia="Arial" w:hAnsi="Arial" w:cs="Arial"/>
        </w:rPr>
        <w:t>where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FN   </w:t>
      </w:r>
      <w:r>
        <w:rPr>
          <w:rFonts w:ascii="Arial" w:eastAsia="Arial" w:hAnsi="Arial" w:cs="Arial"/>
        </w:rPr>
        <w:tab/>
        <w:t>is volumes of the Contract Blocks in the most recent Nomination made pursuant to Paragraph 10 of Annex 1</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C     </w:t>
      </w:r>
      <w:r>
        <w:rPr>
          <w:rFonts w:ascii="Arial" w:eastAsia="Arial" w:hAnsi="Arial" w:cs="Arial"/>
        </w:rPr>
        <w:tab/>
        <w:t>is the relevant PPA Commission</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4 and to which the Authority, in its absolute discretion, agrees in writing</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EBEO  is a sum equal to the Embedded Benefit Payment in relation to any Excess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lastRenderedPageBreak/>
        <w:t xml:space="preserve"> </w:t>
      </w:r>
    </w:p>
    <w:p w:rsidR="00AF194D" w:rsidRDefault="00AF53A3">
      <w:pPr>
        <w:widowControl w:val="0"/>
        <w:spacing w:after="240" w:line="276" w:lineRule="auto"/>
        <w:jc w:val="both"/>
        <w:rPr>
          <w:rFonts w:ascii="Arial" w:eastAsia="Arial" w:hAnsi="Arial" w:cs="Arial"/>
        </w:rPr>
      </w:pPr>
      <w:r>
        <w:rPr>
          <w:rFonts w:ascii="Arial" w:eastAsia="Arial" w:hAnsi="Arial" w:cs="Arial"/>
        </w:rPr>
        <w:t xml:space="preserve"> </w:t>
      </w: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3 – NOT USED </w:t>
      </w:r>
    </w:p>
    <w:p w:rsidR="00AF194D" w:rsidRDefault="00AF194D">
      <w:pPr>
        <w:widowControl w:val="0"/>
        <w:spacing w:after="0" w:line="276" w:lineRule="auto"/>
        <w:jc w:val="center"/>
        <w:rPr>
          <w:rFonts w:ascii="Arial" w:eastAsia="Arial" w:hAnsi="Arial" w:cs="Arial"/>
          <w:b/>
        </w:rPr>
      </w:pPr>
    </w:p>
    <w:p w:rsidR="00AF194D" w:rsidRDefault="00AF194D">
      <w:pPr>
        <w:pStyle w:val="Heading4"/>
        <w:widowControl w:val="0"/>
        <w:spacing w:before="240" w:after="40" w:line="276" w:lineRule="auto"/>
        <w:jc w:val="left"/>
        <w:rPr>
          <w:b/>
        </w:rPr>
      </w:pPr>
      <w:bookmarkStart w:id="8" w:name="_26in1rg" w:colFirst="0" w:colLast="0"/>
      <w:bookmarkEnd w:id="8"/>
    </w:p>
    <w:p w:rsidR="00AF194D" w:rsidRDefault="00AF194D">
      <w:pPr>
        <w:pStyle w:val="Heading4"/>
        <w:widowControl w:val="0"/>
        <w:spacing w:before="240" w:after="40" w:line="276" w:lineRule="auto"/>
        <w:jc w:val="left"/>
        <w:rPr>
          <w:b/>
        </w:rPr>
      </w:pPr>
      <w:bookmarkStart w:id="9" w:name="_lnxbz9" w:colFirst="0" w:colLast="0"/>
      <w:bookmarkEnd w:id="9"/>
    </w:p>
    <w:p w:rsidR="00AF194D" w:rsidRDefault="00AF194D">
      <w:pPr>
        <w:pStyle w:val="Heading4"/>
        <w:widowControl w:val="0"/>
        <w:spacing w:before="240" w:after="40" w:line="276" w:lineRule="auto"/>
        <w:jc w:val="left"/>
        <w:rPr>
          <w:b/>
        </w:rPr>
      </w:pPr>
      <w:bookmarkStart w:id="10" w:name="_35nkun2" w:colFirst="0" w:colLast="0"/>
      <w:bookmarkEnd w:id="10"/>
    </w:p>
    <w:p w:rsidR="00AF194D" w:rsidRDefault="00AF194D"/>
    <w:p w:rsidR="00AF194D" w:rsidRDefault="00AF194D"/>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4 – NOT USED </w:t>
      </w:r>
    </w:p>
    <w:p w:rsidR="00AF194D" w:rsidRDefault="00AF194D">
      <w:pPr>
        <w:pStyle w:val="Heading4"/>
        <w:widowControl w:val="0"/>
        <w:spacing w:before="240" w:after="40" w:line="360" w:lineRule="auto"/>
        <w:jc w:val="left"/>
        <w:rPr>
          <w:b/>
        </w:rPr>
      </w:pPr>
      <w:bookmarkStart w:id="11" w:name="_2bn6wsx" w:colFirst="0" w:colLast="0"/>
      <w:bookmarkEnd w:id="11"/>
    </w:p>
    <w:p w:rsidR="00AF194D" w:rsidRDefault="00AF194D">
      <w:pPr>
        <w:pStyle w:val="Heading4"/>
        <w:widowControl w:val="0"/>
        <w:spacing w:before="240" w:after="40" w:line="276" w:lineRule="auto"/>
        <w:jc w:val="left"/>
        <w:rPr>
          <w:b/>
        </w:rPr>
      </w:pPr>
      <w:bookmarkStart w:id="12" w:name="_qsh70q" w:colFirst="0" w:colLast="0"/>
      <w:bookmarkEnd w:id="12"/>
    </w:p>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Pr>
        <w:pStyle w:val="Heading4"/>
        <w:widowControl w:val="0"/>
        <w:spacing w:before="240" w:after="40" w:line="276" w:lineRule="auto"/>
        <w:jc w:val="left"/>
        <w:rPr>
          <w:b/>
        </w:rPr>
      </w:pPr>
      <w:bookmarkStart w:id="13" w:name="_3as4poj" w:colFirst="0" w:colLast="0"/>
      <w:bookmarkEnd w:id="13"/>
    </w:p>
    <w:p w:rsidR="00AF194D" w:rsidRDefault="00AF53A3">
      <w:pPr>
        <w:widowControl w:val="0"/>
        <w:spacing w:after="0" w:line="276" w:lineRule="auto"/>
        <w:jc w:val="center"/>
        <w:rPr>
          <w:rFonts w:ascii="Arial" w:eastAsia="Arial" w:hAnsi="Arial" w:cs="Arial"/>
          <w:sz w:val="16"/>
          <w:szCs w:val="16"/>
        </w:rPr>
      </w:pPr>
      <w:r>
        <w:rPr>
          <w:rFonts w:ascii="Arial" w:eastAsia="Arial" w:hAnsi="Arial" w:cs="Arial"/>
          <w:b/>
        </w:rPr>
        <w:t>ANNEX 5 - PURCHASING ELECTRICITY UNDER AN INDIRECT PPA</w:t>
      </w:r>
      <w:r>
        <w:rPr>
          <w:rFonts w:ascii="Arial" w:eastAsia="Arial" w:hAnsi="Arial" w:cs="Arial"/>
          <w:sz w:val="16"/>
          <w:szCs w:val="16"/>
        </w:rPr>
        <w:t xml:space="preserve"> </w:t>
      </w:r>
    </w:p>
    <w:p w:rsidR="00AF194D" w:rsidRDefault="00AF53A3">
      <w:pPr>
        <w:widowControl w:val="0"/>
        <w:spacing w:before="240" w:after="240" w:line="360" w:lineRule="auto"/>
        <w:ind w:left="566" w:hanging="566"/>
        <w:jc w:val="both"/>
        <w:rPr>
          <w:rFonts w:ascii="Arial" w:eastAsia="Arial" w:hAnsi="Arial" w:cs="Arial"/>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rPr>
        <w:t>This Annex 5 sets out the mechanism by which the Authority and the Supplier can agree to fix the price of a Contract Block through a Linked Transaction pursuant to an Indirect PPA and fix the price of equivalent volumes in the Purchase Shape.</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rPr>
        <w:t>The Supplier may inform the Authority that:</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r>
        <w:rPr>
          <w:rFonts w:ascii="Arial" w:eastAsia="Arial" w:hAnsi="Arial" w:cs="Arial"/>
        </w:rPr>
        <w:t>it is a party to or intends to become a party to an agreement which it wishes to be treated as an Indirect PPA; and</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r>
        <w:rPr>
          <w:rFonts w:ascii="Arial" w:eastAsia="Arial" w:hAnsi="Arial" w:cs="Arial"/>
        </w:rPr>
        <w:t>that it wishes to enter into a Linked Transaction with the Authority in respect of a specified Linked Block of a specified Export Type;</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and the Authority may, at its sole discretion, consent to this.</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rPr>
        <w:t>The Authority may request the Supplier to offer: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an Indirect PPA;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r>
        <w:rPr>
          <w:rFonts w:ascii="Arial" w:eastAsia="Arial" w:hAnsi="Arial" w:cs="Arial"/>
        </w:rPr>
        <w:t>a Linked Transaction in respect of a specified Linked Block of a Specified Export Type.</w:t>
      </w:r>
    </w:p>
    <w:p w:rsidR="00AF194D" w:rsidRDefault="00AF53A3">
      <w:pPr>
        <w:widowControl w:val="0"/>
        <w:spacing w:before="240" w:after="240" w:line="360" w:lineRule="auto"/>
        <w:ind w:left="850" w:hanging="708"/>
        <w:jc w:val="both"/>
        <w:rPr>
          <w:rFonts w:ascii="Arial" w:eastAsia="Arial" w:hAnsi="Arial" w:cs="Arial"/>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Transaction for non-intermittent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a half hourly generation forecast will be provided by the Supplier;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Supplier will, acting reasonably, translate this forecast into Contract Blocks at the NBP and notify the Authority and generator of this (taking into account any increase to forecast metered volumes for Distribution Losses and Transmission Losses);</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 xml:space="preserve">a fixed £/MWh price at NBP proposed by the Supplier, and as agreed by the Authority at its discretion, will apply both for the payments for the </w:t>
      </w:r>
      <w:r>
        <w:rPr>
          <w:rFonts w:ascii="Arial" w:eastAsia="Arial" w:hAnsi="Arial" w:cs="Arial"/>
        </w:rPr>
        <w:lastRenderedPageBreak/>
        <w:t>metered export and for the purpose of the price to be fixed in respect of the relevant Contract Blocks under this Agreement;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generation in excess of the Contract Block NBP Volume (as determined in accordance with the process described in paragraph 4.2) will be sold on to the N2EX Day Ahead Hourly Auction and any shortfall volume will be purchased on the N2EX Day Ahead Hourly Auction;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r>
        <w:rPr>
          <w:rFonts w:ascii="Arial" w:eastAsia="Arial" w:hAnsi="Arial" w:cs="Arial"/>
        </w:rPr>
        <w:t>terms in relation to tolerance fees, if applicable, will be agreed on a case by case basis in relation to each Indirect PPA. This may include provision for compensation by the generator in relation to failure to notify of unplanned outages.</w:t>
      </w:r>
    </w:p>
    <w:p w:rsidR="00AF194D" w:rsidRDefault="00AF53A3">
      <w:pPr>
        <w:widowControl w:val="0"/>
        <w:spacing w:before="240" w:after="240" w:line="360" w:lineRule="auto"/>
        <w:ind w:left="850" w:hanging="850"/>
        <w:jc w:val="both"/>
        <w:rPr>
          <w:rFonts w:ascii="Arial" w:eastAsia="Arial" w:hAnsi="Arial" w:cs="Arial"/>
        </w:rPr>
      </w:pPr>
      <w:r>
        <w:rPr>
          <w:rFonts w:ascii="Arial" w:eastAsia="Arial" w:hAnsi="Arial" w:cs="Arial"/>
        </w:rPr>
        <w:t>5.</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Export Transaction for 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5.1.</w:t>
      </w:r>
      <w:r>
        <w:rPr>
          <w:rFonts w:ascii="Times New Roman" w:eastAsia="Times New Roman" w:hAnsi="Times New Roman" w:cs="Times New Roman"/>
          <w:sz w:val="14"/>
          <w:szCs w:val="14"/>
        </w:rPr>
        <w:t xml:space="preserve">        </w:t>
      </w:r>
      <w:r>
        <w:rPr>
          <w:rFonts w:ascii="Arial" w:eastAsia="Arial" w:hAnsi="Arial" w:cs="Arial"/>
        </w:rPr>
        <w:t>the Supplier will determine a reasonable Contract Block size based on the capacity of the generator and forecast output;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5.2.</w:t>
      </w:r>
      <w:r>
        <w:rPr>
          <w:rFonts w:ascii="Times New Roman" w:eastAsia="Times New Roman" w:hAnsi="Times New Roman" w:cs="Times New Roman"/>
          <w:sz w:val="14"/>
          <w:szCs w:val="14"/>
        </w:rPr>
        <w:t xml:space="preserve">        </w:t>
      </w:r>
      <w:r>
        <w:rPr>
          <w:rFonts w:ascii="Arial" w:eastAsia="Arial" w:hAnsi="Arial" w:cs="Arial"/>
        </w:rPr>
        <w:t>the Authority will determine an Index to apply both for the payments to the generator for the metered export and for the purpose of the price to be fixed hereunder;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5.3.</w:t>
      </w:r>
      <w:r>
        <w:rPr>
          <w:rFonts w:ascii="Times New Roman" w:eastAsia="Times New Roman" w:hAnsi="Times New Roman" w:cs="Times New Roman"/>
          <w:sz w:val="14"/>
          <w:szCs w:val="14"/>
        </w:rPr>
        <w:t xml:space="preserve">      </w:t>
      </w:r>
      <w:r>
        <w:rPr>
          <w:rFonts w:ascii="Arial" w:eastAsia="Arial" w:hAnsi="Arial" w:cs="Arial"/>
        </w:rPr>
        <w:t>the relevant Index is subject to a deduction in the Linked Transaction to reflect the imbalance risk to the Authority;</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5.4.</w:t>
      </w:r>
      <w:r>
        <w:rPr>
          <w:rFonts w:ascii="Times New Roman" w:eastAsia="Times New Roman" w:hAnsi="Times New Roman" w:cs="Times New Roman"/>
          <w:sz w:val="14"/>
          <w:szCs w:val="14"/>
        </w:rPr>
        <w:t xml:space="preserve">        </w:t>
      </w:r>
      <w:r>
        <w:rPr>
          <w:rFonts w:ascii="Arial" w:eastAsia="Arial" w:hAnsi="Arial" w:cs="Arial"/>
        </w:rPr>
        <w:t>the price to be fixed hereunder shall be the relevant Index Price;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5.5.</w:t>
      </w:r>
      <w:r>
        <w:rPr>
          <w:rFonts w:ascii="Times New Roman" w:eastAsia="Times New Roman" w:hAnsi="Times New Roman" w:cs="Times New Roman"/>
          <w:sz w:val="14"/>
          <w:szCs w:val="14"/>
        </w:rPr>
        <w:t xml:space="preserve">       </w:t>
      </w:r>
      <w:r>
        <w:rPr>
          <w:rFonts w:ascii="Arial" w:eastAsia="Arial" w:hAnsi="Arial" w:cs="Arial"/>
        </w:rPr>
        <w:t>generation in excess of the Contract Block NBP Volume (as determined in accordance with the process described in paragraph 5.1) will be sold on to the N2EX Day Ahead Hourly Auction and any shortfall volume will be purchased on the N2EX Day Ahead Hourly Auction.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6.</w:t>
      </w:r>
      <w:r>
        <w:rPr>
          <w:rFonts w:ascii="Times New Roman" w:eastAsia="Times New Roman" w:hAnsi="Times New Roman" w:cs="Times New Roman"/>
          <w:sz w:val="14"/>
          <w:szCs w:val="14"/>
        </w:rPr>
        <w:t xml:space="preserve">        </w:t>
      </w:r>
      <w:r>
        <w:rPr>
          <w:rFonts w:ascii="Arial" w:eastAsia="Arial" w:hAnsi="Arial" w:cs="Arial"/>
        </w:rPr>
        <w:t>Without prejudice to any other provision in this Framework Agreement in relation to audit, the Supplier will provide meter details and any other assistance to the Authority to allow the Authority or an appointed auditor to independently monitor and verify generator performance and price paid for generation.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7.</w:t>
      </w:r>
      <w:r>
        <w:rPr>
          <w:rFonts w:ascii="Times New Roman" w:eastAsia="Times New Roman" w:hAnsi="Times New Roman" w:cs="Times New Roman"/>
          <w:sz w:val="14"/>
          <w:szCs w:val="14"/>
        </w:rPr>
        <w:t xml:space="preserve">         </w:t>
      </w:r>
      <w:r>
        <w:rPr>
          <w:rFonts w:ascii="Arial" w:eastAsia="Arial" w:hAnsi="Arial" w:cs="Arial"/>
        </w:rPr>
        <w:t xml:space="preserve">The Parties may enter into a Linked Transaction for a Contract Block only if the Indirect PPA relates to Contract Blocks of the same volume, and which relate to the same complete Month, complete Quarter or other complete relevant period as the relevant </w:t>
      </w:r>
      <w:r>
        <w:rPr>
          <w:rFonts w:ascii="Arial" w:eastAsia="Arial" w:hAnsi="Arial" w:cs="Arial"/>
        </w:rPr>
        <w:lastRenderedPageBreak/>
        <w:t>Contract Block (“</w:t>
      </w:r>
      <w:r>
        <w:rPr>
          <w:rFonts w:ascii="Arial" w:eastAsia="Arial" w:hAnsi="Arial" w:cs="Arial"/>
          <w:b/>
        </w:rPr>
        <w:t>Corresponding Block</w:t>
      </w:r>
      <w:r>
        <w:rPr>
          <w:rFonts w:ascii="Arial" w:eastAsia="Arial" w:hAnsi="Arial" w:cs="Arial"/>
        </w:rPr>
        <w:t>”).</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8.</w:t>
      </w:r>
      <w:r>
        <w:rPr>
          <w:rFonts w:ascii="Times New Roman" w:eastAsia="Times New Roman" w:hAnsi="Times New Roman" w:cs="Times New Roman"/>
          <w:sz w:val="14"/>
          <w:szCs w:val="14"/>
        </w:rPr>
        <w:t xml:space="preserve">         </w:t>
      </w:r>
      <w:r>
        <w:rPr>
          <w:rFonts w:ascii="Arial" w:eastAsia="Arial" w:hAnsi="Arial" w:cs="Arial"/>
        </w:rPr>
        <w:t>The Supplier shall take delivery of electricity under each Indirect PPA at the NBP. The export meter volume delivered under each Indirect PPA shall be adjusted by applying the applicable distribution losses, transmission losses and GSP Group Correction Factors (as defined in the BSC) to the generator’s metered volume.</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9.</w:t>
      </w:r>
      <w:r>
        <w:rPr>
          <w:rFonts w:ascii="Times New Roman" w:eastAsia="Times New Roman" w:hAnsi="Times New Roman" w:cs="Times New Roman"/>
          <w:sz w:val="14"/>
          <w:szCs w:val="14"/>
        </w:rPr>
        <w:t xml:space="preserve">         </w:t>
      </w:r>
      <w:r>
        <w:rPr>
          <w:rFonts w:ascii="Arial" w:eastAsia="Arial" w:hAnsi="Arial" w:cs="Arial"/>
        </w:rPr>
        <w:t>If, following notification pursuant to Paragraph 2, the Authority wishes to enter into the relevant Linked Transaction, or following any notification pursuant to Paragraph 3:</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9.1.</w:t>
      </w:r>
      <w:r>
        <w:rPr>
          <w:rFonts w:ascii="Times New Roman" w:eastAsia="Times New Roman" w:hAnsi="Times New Roman" w:cs="Times New Roman"/>
          <w:sz w:val="14"/>
          <w:szCs w:val="14"/>
        </w:rPr>
        <w:t xml:space="preserve">        </w:t>
      </w:r>
      <w:r>
        <w:rPr>
          <w:rFonts w:ascii="Arial" w:eastAsia="Arial" w:hAnsi="Arial" w:cs="Arial"/>
        </w:rPr>
        <w:t>the Authority shall send a signed Linked Confirmation in respect of the Linked Transaction to the Supplier;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9.2.</w:t>
      </w:r>
      <w:r>
        <w:rPr>
          <w:rFonts w:ascii="Times New Roman" w:eastAsia="Times New Roman" w:hAnsi="Times New Roman" w:cs="Times New Roman"/>
          <w:sz w:val="14"/>
          <w:szCs w:val="14"/>
        </w:rPr>
        <w:t xml:space="preserve">        </w:t>
      </w:r>
      <w:r>
        <w:rPr>
          <w:rFonts w:ascii="Arial" w:eastAsia="Arial" w:hAnsi="Arial" w:cs="Arial"/>
        </w:rPr>
        <w:t>the Linked Transaction shall take effect only if the Supplier receives a signed Linked Confirmation from the Authority by 4:00pm on the day on which the Supplier received the request pursuant to Paragraph 2, or consent pursuant to Paragraph 2.</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Supplier shall:</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10.1.</w:t>
      </w:r>
      <w:r>
        <w:rPr>
          <w:rFonts w:ascii="Times New Roman" w:eastAsia="Times New Roman" w:hAnsi="Times New Roman" w:cs="Times New Roman"/>
          <w:sz w:val="14"/>
          <w:szCs w:val="14"/>
        </w:rPr>
        <w:t xml:space="preserve">     </w:t>
      </w:r>
      <w:r>
        <w:rPr>
          <w:rFonts w:ascii="Arial" w:eastAsia="Arial" w:hAnsi="Arial" w:cs="Arial"/>
        </w:rPr>
        <w:t>obtain the Authority’s prior written consent before terminating all of part of an Indirect PPA or a Corresponding Block;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10.2.</w:t>
      </w:r>
      <w:r>
        <w:rPr>
          <w:rFonts w:ascii="Times New Roman" w:eastAsia="Times New Roman" w:hAnsi="Times New Roman" w:cs="Times New Roman"/>
          <w:sz w:val="14"/>
          <w:szCs w:val="14"/>
        </w:rPr>
        <w:t xml:space="preserve">     </w:t>
      </w:r>
      <w:r>
        <w:rPr>
          <w:rFonts w:ascii="Arial" w:eastAsia="Arial" w:hAnsi="Arial" w:cs="Arial"/>
        </w:rPr>
        <w:t>where the Authority has so consented, promptly notify the Authority in writing of any such termination.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If one or more Customer and/or the Authority suffers an financial loss as a result of any breach or termination of an Indirect PPA, whether on a mark-to-market basis or otherwise, the Supplier shall pay to the Authority an amount equal to the aggregate of all such financial losses of Customers and the Authority.</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Authority shall in no circumstances be liable to, or be required to compensate, the Supplier in connection with any losses suffered or incurred by the Supplier directly or indirectly as a result of any breach, termination, default, performance or non-performance of or under any Indirect PPA.</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Each Party shall comply with the terms and conditions of each Linked Export Transaction. The Supplier shall procure that the generator under each Indirect PPA complies with the terms and conditions of that Indirect PPA.</w:t>
      </w:r>
    </w:p>
    <w:p w:rsidR="00AF194D" w:rsidRDefault="00AF53A3">
      <w:pPr>
        <w:widowControl w:val="0"/>
        <w:spacing w:before="240" w:after="240" w:line="360" w:lineRule="auto"/>
        <w:ind w:left="708" w:hanging="566"/>
        <w:jc w:val="both"/>
        <w:rPr>
          <w:rFonts w:ascii="Arial" w:eastAsia="Arial" w:hAnsi="Arial" w:cs="Arial"/>
        </w:rPr>
      </w:pPr>
      <w:r>
        <w:rPr>
          <w:rFonts w:ascii="Arial" w:eastAsia="Arial" w:hAnsi="Arial" w:cs="Arial"/>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 xml:space="preserve">The price of a Contract Block supplied under an Indirect PPA shall be calculated in </w:t>
      </w:r>
      <w:r>
        <w:rPr>
          <w:rFonts w:ascii="Arial" w:eastAsia="Arial" w:hAnsi="Arial" w:cs="Arial"/>
        </w:rPr>
        <w:lastRenderedPageBreak/>
        <w:t>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r>
        <w:rPr>
          <w:rFonts w:ascii="Arial" w:eastAsia="Arial" w:hAnsi="Arial" w:cs="Arial"/>
          <w:noProof/>
        </w:rPr>
        <w:drawing>
          <wp:inline distT="114300" distB="114300" distL="114300" distR="114300">
            <wp:extent cx="2028825" cy="7477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028825" cy="747713"/>
                    </a:xfrm>
                    <a:prstGeom prst="rect">
                      <a:avLst/>
                    </a:prstGeom>
                    <a:ln/>
                  </pic:spPr>
                </pic:pic>
              </a:graphicData>
            </a:graphic>
          </wp:inline>
        </w:drawing>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calculated as (REO</w:t>
      </w:r>
      <w:r>
        <w:rPr>
          <w:rFonts w:ascii="Arial" w:eastAsia="Arial" w:hAnsi="Arial" w:cs="Arial"/>
          <w:sz w:val="16"/>
          <w:szCs w:val="16"/>
        </w:rPr>
        <w:t>NBP</w:t>
      </w:r>
      <w:r>
        <w:rPr>
          <w:rFonts w:ascii="Arial" w:eastAsia="Arial" w:hAnsi="Arial" w:cs="Arial"/>
        </w:rPr>
        <w:t xml:space="preserve"> x Linked Export Contract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t>where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t>where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FN   </w:t>
      </w:r>
      <w:r>
        <w:rPr>
          <w:rFonts w:ascii="Arial" w:eastAsia="Arial" w:hAnsi="Arial" w:cs="Arial"/>
        </w:rPr>
        <w:tab/>
        <w:t>is the volume of the Contract Blocks in the most recent nomination of Contract Blocks made by the Supplier in accordance with the terms of the relevant PPA</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TF    </w:t>
      </w:r>
      <w:r>
        <w:rPr>
          <w:rFonts w:ascii="Arial" w:eastAsia="Arial" w:hAnsi="Arial" w:cs="Arial"/>
        </w:rPr>
        <w:tab/>
        <w:t>is any tolerance fee payable in respect of each Settlement Period</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14 and to which the Authority, in its absolute discretion, agrees in writing</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V      </w:t>
      </w:r>
      <w:r>
        <w:rPr>
          <w:rFonts w:ascii="Arial" w:eastAsia="Arial" w:hAnsi="Arial" w:cs="Arial"/>
        </w:rPr>
        <w:tab/>
        <w:t>volumes of the Contract Blocks translated pursuant to Paragraph 4.2.</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6 - FORM OF LINKED CONFIRMATION</w:t>
      </w:r>
    </w:p>
    <w:p w:rsidR="00AF194D" w:rsidRDefault="00AF53A3">
      <w:pPr>
        <w:widowControl w:val="0"/>
        <w:spacing w:after="0" w:line="276" w:lineRule="auto"/>
        <w:rPr>
          <w:rFonts w:ascii="Arial" w:eastAsia="Arial" w:hAnsi="Arial" w:cs="Arial"/>
          <w:b/>
          <w:sz w:val="28"/>
          <w:szCs w:val="28"/>
        </w:rPr>
      </w:pPr>
      <w:r>
        <w:rPr>
          <w:rFonts w:ascii="Arial" w:eastAsia="Arial" w:hAnsi="Arial" w:cs="Arial"/>
          <w:b/>
          <w:sz w:val="28"/>
          <w:szCs w:val="28"/>
        </w:rPr>
        <w:t xml:space="preserve"> </w:t>
      </w: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A- Form of Linked Confirmation for Blocked Export</w:t>
      </w:r>
    </w:p>
    <w:tbl>
      <w:tblPr>
        <w:tblStyle w:val="a3"/>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both"/>
              <w:rPr>
                <w:rFonts w:ascii="Arial" w:eastAsia="Arial" w:hAnsi="Arial" w:cs="Arial"/>
                <w:b/>
              </w:rPr>
            </w:pPr>
            <w:r>
              <w:rPr>
                <w:rFonts w:ascii="Arial" w:eastAsia="Arial" w:hAnsi="Arial" w:cs="Arial"/>
                <w:b/>
              </w:rPr>
              <w:t xml:space="preserve">               </w:t>
            </w:r>
            <w:r>
              <w:rPr>
                <w:rFonts w:ascii="Arial" w:eastAsia="Arial" w:hAnsi="Arial" w:cs="Arial"/>
                <w:b/>
              </w:rPr>
              <w:tab/>
              <w:t>[Baseload/Peakload]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194D">
      <w:pPr>
        <w:widowControl w:val="0"/>
        <w:spacing w:after="0" w:line="276" w:lineRule="auto"/>
        <w:rPr>
          <w:rFonts w:ascii="Arial" w:eastAsia="Arial" w:hAnsi="Arial" w:cs="Arial"/>
          <w:b/>
        </w:rPr>
      </w:pP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B - Form of Linked Confirmation for Indexed Export</w:t>
      </w:r>
    </w:p>
    <w:tbl>
      <w:tblPr>
        <w:tblStyle w:val="a4"/>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Index</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[Index on which Linked Export Contract Price is settled]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[Baseload/Peakload]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center"/>
        <w:rPr>
          <w:rFonts w:ascii="Arial" w:eastAsia="Arial" w:hAnsi="Arial" w:cs="Arial"/>
          <w:b/>
        </w:rPr>
      </w:pPr>
      <w:r>
        <w:rPr>
          <w:rFonts w:ascii="Arial" w:eastAsia="Arial" w:hAnsi="Arial" w:cs="Arial"/>
          <w:b/>
        </w:rPr>
        <w:t>ANNEX 7 - OUTPUT FORECASTS AND MAINTENANCE PROGRAMME IN RELATION TO THE DIRECT PPA</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b/>
        </w:rPr>
        <w:t>PURPOSE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shall provide data to enable the Supplier to predict output from the Facility, in accordance with this Annex, in relation to the Direct PPA.</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will operate the Facility in line with a Planned Outage Schedule which will be set in accordance with the terms of this Annex. Where an outage is unplanned, it shall be addressed in accordance with this Annex.</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b/>
        </w:rPr>
        <w:t>ADDITIONAL DEFINITIONS</w:t>
      </w:r>
    </w:p>
    <w:p w:rsidR="00AF194D" w:rsidRDefault="00AF53A3">
      <w:pPr>
        <w:widowControl w:val="0"/>
        <w:spacing w:after="240" w:line="360" w:lineRule="auto"/>
        <w:ind w:left="700"/>
        <w:rPr>
          <w:rFonts w:ascii="Arial" w:eastAsia="Arial" w:hAnsi="Arial" w:cs="Arial"/>
        </w:rPr>
      </w:pPr>
      <w:r>
        <w:rPr>
          <w:rFonts w:ascii="Arial" w:eastAsia="Arial" w:hAnsi="Arial" w:cs="Arial"/>
        </w:rPr>
        <w:lastRenderedPageBreak/>
        <w:t>The following additional definitions shall apply for the purposes of this Annex:</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Contract Year</w:t>
      </w:r>
      <w:r>
        <w:rPr>
          <w:rFonts w:ascii="Arial" w:eastAsia="Arial" w:hAnsi="Arial" w:cs="Arial"/>
        </w:rPr>
        <w:t xml:space="preserve"> the period from the Commercial Operations Date (or, in respect of a Facility that is operational at the date on which the Authority notifies the Supplier of the relevant Direct PPA under Paragraph 1 of Annex 1 to Schedule 3, the date on which all conditions precedent have been satisfied) until 24.00 hours on the anniversary thereof and each subsequent 12 month period until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Forecast</w:t>
      </w:r>
      <w:r>
        <w:rPr>
          <w:rFonts w:ascii="Arial" w:eastAsia="Arial" w:hAnsi="Arial" w:cs="Arial"/>
        </w:rPr>
        <w:t xml:space="preserve"> a Long Term Forecast, a Monthly Forecast, a Weekly Forecast, an Updated Forecast or a Revised Forecast, as the context may require;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Long Term Forecast</w:t>
      </w:r>
      <w:r>
        <w:rPr>
          <w:rFonts w:ascii="Arial" w:eastAsia="Arial" w:hAnsi="Arial" w:cs="Arial"/>
        </w:rPr>
        <w:t xml:space="preserve"> has the meaning given to it in Paragraph 3.2;</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Monthly Forecast</w:t>
      </w:r>
      <w:r>
        <w:rPr>
          <w:rFonts w:ascii="Arial" w:eastAsia="Arial" w:hAnsi="Arial" w:cs="Arial"/>
        </w:rPr>
        <w:t xml:space="preserve"> has the meaning given to it in Paragraph 3.3;</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Operating Period</w:t>
      </w:r>
      <w:r>
        <w:rPr>
          <w:rFonts w:ascii="Arial" w:eastAsia="Arial" w:hAnsi="Arial" w:cs="Arial"/>
        </w:rPr>
        <w:t xml:space="preserve"> the period from the Commercial Operations Date to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Outage</w:t>
      </w:r>
      <w:r>
        <w:rPr>
          <w:rFonts w:ascii="Arial" w:eastAsia="Arial" w:hAnsi="Arial" w:cs="Arial"/>
        </w:rPr>
        <w:t xml:space="preserve"> a continuous period of: (i) in respect of the Direct PPA, at least [</w:t>
      </w:r>
      <w:r>
        <w:rPr>
          <w:rFonts w:ascii="Arial" w:eastAsia="Arial" w:hAnsi="Arial" w:cs="Arial"/>
          <w:color w:val="FF0000"/>
        </w:rPr>
        <w:t>to be agreed</w:t>
      </w:r>
      <w:r>
        <w:rPr>
          <w:rFonts w:ascii="Arial" w:eastAsia="Arial" w:hAnsi="Arial" w:cs="Arial"/>
        </w:rPr>
        <w:t>] hours in which the Facility’s generation of electrical power is reduced or increased below [] MW; or (ii) in respect of any New Direct PPA, as notified to the Supplier by the Authority in accordance with Paragraph 1 of Annex 1; in respect of the Direct PPA, the gross generation capacity is [  ] MW of which up to ~[  ]MW is parasitic load;</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w:t>
      </w:r>
      <w:r>
        <w:rPr>
          <w:rFonts w:ascii="Arial" w:eastAsia="Arial" w:hAnsi="Arial" w:cs="Arial"/>
        </w:rPr>
        <w:t xml:space="preserve"> an Outage included in a Planned Outage Schedule;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 Schedule</w:t>
      </w:r>
      <w:r>
        <w:rPr>
          <w:rFonts w:ascii="Arial" w:eastAsia="Arial" w:hAnsi="Arial" w:cs="Arial"/>
        </w:rPr>
        <w:t xml:space="preserve"> has the meaning given to it in Paragraph 4.1;</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Revised Forecast</w:t>
      </w:r>
      <w:r>
        <w:rPr>
          <w:rFonts w:ascii="Arial" w:eastAsia="Arial" w:hAnsi="Arial" w:cs="Arial"/>
        </w:rPr>
        <w:t xml:space="preserve"> has the meaning given to it in Paragraph 3.6;</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Unplanned Outage</w:t>
      </w:r>
      <w:r>
        <w:rPr>
          <w:rFonts w:ascii="Arial" w:eastAsia="Arial" w:hAnsi="Arial" w:cs="Arial"/>
        </w:rPr>
        <w:t xml:space="preserve"> any Outage that is not a Planned Outage;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Updated Forecast</w:t>
      </w:r>
      <w:r>
        <w:rPr>
          <w:rFonts w:ascii="Arial" w:eastAsia="Arial" w:hAnsi="Arial" w:cs="Arial"/>
        </w:rPr>
        <w:t xml:space="preserve"> has the meaning given to it in Paragraph 3.5;</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Volume</w:t>
      </w:r>
      <w:r>
        <w:rPr>
          <w:rFonts w:ascii="Arial" w:eastAsia="Arial" w:hAnsi="Arial" w:cs="Arial"/>
        </w:rPr>
        <w:t xml:space="preserve"> for each Month, the total aggregate volume of Electrical Output that was expected to be generated in that Month at the Facility at the start of the relevant Contract Year, as set out in the Long Term Forecast and as may be adjusted after the start of the Contract Year upon the provision of Monthly Forecasts, Weekly Forecasts and Revised Forecasts by the Generator;</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Weekly Forecast</w:t>
      </w:r>
      <w:r>
        <w:rPr>
          <w:rFonts w:ascii="Arial" w:eastAsia="Arial" w:hAnsi="Arial" w:cs="Arial"/>
        </w:rPr>
        <w:t xml:space="preserve"> has the meaning given to it in Paragraph 3.4. </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b/>
        </w:rPr>
        <w:t>FORECASTS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The Generator shall provide to the Supplier all Relevant Electrical Output-specific information reasonably requested by the Supplier so that the Supplier can better predict the Forecasted Relevant Electrical Output.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r>
        <w:rPr>
          <w:rFonts w:ascii="Arial" w:eastAsia="Arial" w:hAnsi="Arial" w:cs="Arial"/>
        </w:rPr>
        <w:t xml:space="preserve">The Generator shall, not later than [] Business Days prior to the commencement of each Contract Year, notify the Supplier by e-mail of the </w:t>
      </w:r>
      <w:r>
        <w:rPr>
          <w:rFonts w:ascii="Arial" w:eastAsia="Arial" w:hAnsi="Arial" w:cs="Arial"/>
        </w:rPr>
        <w:lastRenderedPageBreak/>
        <w:t>Forecasted Relevant Electrical Output and the quantity of ROCs that the Generator expects to receive for each Month for the next Contract Year (or until the Expiry Date, whichever is sooner) (“</w:t>
      </w:r>
      <w:r>
        <w:rPr>
          <w:rFonts w:ascii="Arial" w:eastAsia="Arial" w:hAnsi="Arial" w:cs="Arial"/>
          <w:b/>
        </w:rPr>
        <w:t>Long Term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3.3</w:t>
      </w:r>
      <w:r>
        <w:rPr>
          <w:rFonts w:ascii="Times New Roman" w:eastAsia="Times New Roman" w:hAnsi="Times New Roman" w:cs="Times New Roman"/>
          <w:sz w:val="14"/>
          <w:szCs w:val="14"/>
        </w:rPr>
        <w:t xml:space="preserve">         </w:t>
      </w:r>
      <w:r>
        <w:rPr>
          <w:rFonts w:ascii="Arial" w:eastAsia="Arial" w:hAnsi="Arial" w:cs="Arial"/>
        </w:rPr>
        <w:t>The Generator shall also, not earlier than [  ] Business Days and not later than [] Business Days prior to the start of each Month during each Contract Year, notify the Supplier by e-mail (with copy to the Licensed Supplier) of the Forecasted Relevant Electrical Output for each Settlement Period and the volume of ROCs that the Generator expects to receive in respect of the Relevant Electrical Output generated during that Month (even if it is the same or similar to that Forecasted by the Long Term Forecast) (“</w:t>
      </w:r>
      <w:r>
        <w:rPr>
          <w:rFonts w:ascii="Arial" w:eastAsia="Arial" w:hAnsi="Arial" w:cs="Arial"/>
          <w:b/>
        </w:rPr>
        <w:t>Monthly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3.4</w:t>
      </w:r>
      <w:r>
        <w:rPr>
          <w:rFonts w:ascii="Times New Roman" w:eastAsia="Times New Roman" w:hAnsi="Times New Roman" w:cs="Times New Roman"/>
          <w:sz w:val="14"/>
          <w:szCs w:val="14"/>
        </w:rPr>
        <w:t xml:space="preserve">         </w:t>
      </w:r>
      <w:r>
        <w:rPr>
          <w:rFonts w:ascii="Arial" w:eastAsia="Arial" w:hAnsi="Arial" w:cs="Arial"/>
        </w:rPr>
        <w:t>The Generator shall, during each Month of each Contract Year, by [</w:t>
      </w:r>
      <w:r>
        <w:rPr>
          <w:rFonts w:ascii="Arial" w:eastAsia="Arial" w:hAnsi="Arial" w:cs="Arial"/>
          <w:color w:val="FF0000"/>
        </w:rPr>
        <w:t xml:space="preserve"> time to be agreed</w:t>
      </w:r>
      <w:r>
        <w:rPr>
          <w:rFonts w:ascii="Arial" w:eastAsia="Arial" w:hAnsi="Arial" w:cs="Arial"/>
        </w:rPr>
        <w:t>] on each [</w:t>
      </w:r>
      <w:r>
        <w:rPr>
          <w:rFonts w:ascii="Arial" w:eastAsia="Arial" w:hAnsi="Arial" w:cs="Arial"/>
          <w:color w:val="FF0000"/>
        </w:rPr>
        <w:t>day</w:t>
      </w:r>
      <w:r>
        <w:rPr>
          <w:rFonts w:ascii="Arial" w:eastAsia="Arial" w:hAnsi="Arial" w:cs="Arial"/>
        </w:rPr>
        <w:t xml:space="preserve"> </w:t>
      </w:r>
      <w:r>
        <w:rPr>
          <w:rFonts w:ascii="Arial" w:eastAsia="Arial" w:hAnsi="Arial" w:cs="Arial"/>
          <w:color w:val="FF0000"/>
        </w:rPr>
        <w:t>to be agreed</w:t>
      </w:r>
      <w:r>
        <w:rPr>
          <w:rFonts w:ascii="Arial" w:eastAsia="Arial" w:hAnsi="Arial" w:cs="Arial"/>
        </w:rPr>
        <w:t>] that is a Business Day (or where a [</w:t>
      </w:r>
      <w:r>
        <w:rPr>
          <w:rFonts w:ascii="Arial" w:eastAsia="Arial" w:hAnsi="Arial" w:cs="Arial"/>
          <w:color w:val="FF0000"/>
        </w:rPr>
        <w:t>day</w:t>
      </w:r>
      <w:r>
        <w:rPr>
          <w:rFonts w:ascii="Arial" w:eastAsia="Arial" w:hAnsi="Arial" w:cs="Arial"/>
        </w:rPr>
        <w:t>]is not a Business Day, on the next Business Day before that [day]), notify the Supplier by email of the Forecasted Relevant Electrical Output for each Settlement Period over the next 10 days (including the day that such Forecast is submitted) (“</w:t>
      </w:r>
      <w:r>
        <w:rPr>
          <w:rFonts w:ascii="Arial" w:eastAsia="Arial" w:hAnsi="Arial" w:cs="Arial"/>
          <w:b/>
        </w:rPr>
        <w:t>Weekly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3.5</w:t>
      </w:r>
      <w:r>
        <w:rPr>
          <w:rFonts w:ascii="Times New Roman" w:eastAsia="Times New Roman" w:hAnsi="Times New Roman" w:cs="Times New Roman"/>
          <w:sz w:val="14"/>
          <w:szCs w:val="14"/>
        </w:rPr>
        <w:t xml:space="preserve">         </w:t>
      </w:r>
      <w:r>
        <w:rPr>
          <w:rFonts w:ascii="Arial" w:eastAsia="Arial" w:hAnsi="Arial" w:cs="Arial"/>
        </w:rPr>
        <w:t>If, following the submission of a Weekly Forecast, there is a change in the Forecasted Relevant Electrical Output (or availability) of the Facility of more than [] MW (in the case of the Direct PPA or, in respect of any New Direct PPA, such number of MW as is notified to the Supplier by the Authority pursuant to Paragraph 1 of Annex 1) that is Forecasted to persist for more than three consecutive hours, the Authority shall procure that the Generator shall notify the Supplier by email not more than three hours after becoming aware of such change (“</w:t>
      </w:r>
      <w:r>
        <w:rPr>
          <w:rFonts w:ascii="Arial" w:eastAsia="Arial" w:hAnsi="Arial" w:cs="Arial"/>
          <w:b/>
        </w:rPr>
        <w:t>Updated Forecast</w:t>
      </w:r>
      <w:r>
        <w:rPr>
          <w:rFonts w:ascii="Arial" w:eastAsia="Arial" w:hAnsi="Arial" w:cs="Arial"/>
        </w:rPr>
        <w:t>”). The Supplier may request that the Generator shall provide such additional information as the Supplier may reasonably require following such notification or in the event that the Supplier becomes aware of such a change other than through notification by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3.6</w:t>
      </w:r>
      <w:r>
        <w:rPr>
          <w:rFonts w:ascii="Times New Roman" w:eastAsia="Times New Roman" w:hAnsi="Times New Roman" w:cs="Times New Roman"/>
          <w:sz w:val="14"/>
          <w:szCs w:val="14"/>
        </w:rPr>
        <w:t xml:space="preserve">         </w:t>
      </w:r>
      <w:r>
        <w:rPr>
          <w:rFonts w:ascii="Arial" w:eastAsia="Arial" w:hAnsi="Arial" w:cs="Arial"/>
        </w:rPr>
        <w:t xml:space="preserve">Notwithstanding the above, if at any time during the Operating Period the Generator becomes aware that the Relevant Electrical Output for any Settlement Period in any Month could differ from either the Long Term Forecast or the Monthly Forecast by more than [  ]%, t the Generator shall </w:t>
      </w:r>
      <w:r>
        <w:rPr>
          <w:rFonts w:ascii="Arial" w:eastAsia="Arial" w:hAnsi="Arial" w:cs="Arial"/>
        </w:rPr>
        <w:lastRenderedPageBreak/>
        <w:t>notify the Supplier of such change and of the revised Long Term Forecast and/or Monthly Forecast (as appropriate) forthwith by e-mail (“</w:t>
      </w:r>
      <w:r>
        <w:rPr>
          <w:rFonts w:ascii="Arial" w:eastAsia="Arial" w:hAnsi="Arial" w:cs="Arial"/>
          <w:b/>
        </w:rPr>
        <w:t>Revised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3.7</w:t>
      </w:r>
      <w:r>
        <w:rPr>
          <w:rFonts w:ascii="Times New Roman" w:eastAsia="Times New Roman" w:hAnsi="Times New Roman" w:cs="Times New Roman"/>
          <w:sz w:val="14"/>
          <w:szCs w:val="14"/>
        </w:rPr>
        <w:t xml:space="preserve">         </w:t>
      </w:r>
      <w:r>
        <w:rPr>
          <w:rFonts w:ascii="Arial" w:eastAsia="Arial" w:hAnsi="Arial" w:cs="Arial"/>
        </w:rPr>
        <w:t>The Generator shall, on request, provide details of all of the factors, matters and circumstances taken into account in preparation of the Forecasts.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3.8</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acts as a Reasonable and Prudent Operator in preparing each Forecast.</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MAINTENANCE AND OUTAGES</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Planned Outage Schedule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Generator shall, not less than [</w:t>
      </w:r>
      <w:r>
        <w:rPr>
          <w:rFonts w:ascii="Arial" w:eastAsia="Arial" w:hAnsi="Arial" w:cs="Arial"/>
          <w:color w:val="FF0000"/>
        </w:rPr>
        <w:t>to be agreed</w:t>
      </w:r>
      <w:r>
        <w:rPr>
          <w:rFonts w:ascii="Arial" w:eastAsia="Arial" w:hAnsi="Arial" w:cs="Arial"/>
        </w:rPr>
        <w:t>] Working Days prior to the start of each Contract Year, provide to the Supplier a schedule (in a form required by the Supplier, acting reasonably) setting out each of the proposed Planned Outages in the relevant Contract Year, including details as to the amount by which the Net Capacity of the Facility will be reduced and the nominated timing and dates of such Planned Outages (“</w:t>
      </w:r>
      <w:r>
        <w:rPr>
          <w:rFonts w:ascii="Arial" w:eastAsia="Arial" w:hAnsi="Arial" w:cs="Arial"/>
          <w:b/>
        </w:rPr>
        <w:t>Planned Outage Schedule</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Generator may amend the Planned Outage Schedule for any Contract Year (by resubmitting the form referred to in Paragraph 4.1 provided it does so as far in advance of the Planned Outage that is to be revised by such amendment as reasonably possible.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In nominating the number, timing and duration of Planned Outages to be included in a Planned Outage Schedule and in proposing any amendments to such Planned Outage Schedule, the Generator shall consider the benefit to each Party of avoiding Outages during the Months of November to February (inclusive) insofar as reasonably practicable.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The Generator shall consult with the Supplier during the period in which the Generator is preparing each Planned Outage Schedule and any amendments thereto, to ascertain the Supplier’s preferences, provided that the final decision with regards to scheduling Planned Outages shall rest with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lastRenderedPageBreak/>
        <w:t>4.5</w:t>
      </w:r>
      <w:r>
        <w:rPr>
          <w:rFonts w:ascii="Times New Roman" w:eastAsia="Times New Roman" w:hAnsi="Times New Roman" w:cs="Times New Roman"/>
          <w:sz w:val="14"/>
          <w:szCs w:val="14"/>
        </w:rPr>
        <w:t xml:space="preserve">         </w:t>
      </w:r>
      <w:r>
        <w:rPr>
          <w:rFonts w:ascii="Arial" w:eastAsia="Arial" w:hAnsi="Arial" w:cs="Arial"/>
        </w:rPr>
        <w:t>Disputes regarding the Authority’s compliance with Paragraph 4.1 to 4.4 shall be resolved in accordance with Clause 15.16.</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4.6</w:t>
      </w:r>
      <w:r>
        <w:rPr>
          <w:rFonts w:ascii="Times New Roman" w:eastAsia="Times New Roman" w:hAnsi="Times New Roman" w:cs="Times New Roman"/>
          <w:sz w:val="14"/>
          <w:szCs w:val="14"/>
        </w:rPr>
        <w:t xml:space="preserve">         </w:t>
      </w:r>
      <w:r>
        <w:rPr>
          <w:rFonts w:ascii="Arial" w:eastAsia="Arial" w:hAnsi="Arial" w:cs="Arial"/>
        </w:rPr>
        <w:t>The Generator shall use its reasonable endeavours to minimise the number and duration of Unplanned Outages that occur during the Operating Period.  The Generator shall, as soon as reasonably practicable following the occurrence of an Unplanned Outage during the Operating Period, remedy the Unplanned Outage and return the Facility to full operation.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4.7</w:t>
      </w:r>
      <w:r>
        <w:rPr>
          <w:rFonts w:ascii="Times New Roman" w:eastAsia="Times New Roman" w:hAnsi="Times New Roman" w:cs="Times New Roman"/>
          <w:sz w:val="14"/>
          <w:szCs w:val="14"/>
        </w:rPr>
        <w:t xml:space="preserve">         </w:t>
      </w:r>
      <w:r>
        <w:rPr>
          <w:rFonts w:ascii="Arial" w:eastAsia="Arial" w:hAnsi="Arial" w:cs="Arial"/>
        </w:rPr>
        <w:t>The Generator shall notify the Supplier of the commencement of any Unplanned Outage during the Operating Period as soon as reasonably practicable and in any event within three hours after its commencement.  The Generator shall notify the Supplier at the end of any Unplanned Outage during the Operating Period as soon as reasonably practicable and in any event within three hours after its coming to an end.Keeping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4.8</w:t>
      </w:r>
      <w:r>
        <w:rPr>
          <w:rFonts w:ascii="Times New Roman" w:eastAsia="Times New Roman" w:hAnsi="Times New Roman" w:cs="Times New Roman"/>
          <w:sz w:val="14"/>
          <w:szCs w:val="14"/>
        </w:rPr>
        <w:t xml:space="preserve">         </w:t>
      </w:r>
      <w:r>
        <w:rPr>
          <w:rFonts w:ascii="Arial" w:eastAsia="Arial" w:hAnsi="Arial" w:cs="Arial"/>
        </w:rPr>
        <w:t>On notifying the Supplier of the commencement of an Unplanned Outage or as soon as reasonably practicable thereafter, the Generator shall inform the Supplier of:</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4.8.1</w:t>
      </w:r>
      <w:r>
        <w:rPr>
          <w:rFonts w:ascii="Times New Roman" w:eastAsia="Times New Roman" w:hAnsi="Times New Roman" w:cs="Times New Roman"/>
          <w:sz w:val="14"/>
          <w:szCs w:val="14"/>
        </w:rPr>
        <w:t xml:space="preserve">      </w:t>
      </w:r>
      <w:r>
        <w:rPr>
          <w:rFonts w:ascii="Arial" w:eastAsia="Arial" w:hAnsi="Arial" w:cs="Arial"/>
        </w:rPr>
        <w:t>the cause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4.8.2</w:t>
      </w:r>
      <w:r>
        <w:rPr>
          <w:rFonts w:ascii="Times New Roman" w:eastAsia="Times New Roman" w:hAnsi="Times New Roman" w:cs="Times New Roman"/>
          <w:sz w:val="14"/>
          <w:szCs w:val="14"/>
        </w:rPr>
        <w:t xml:space="preserve">      </w:t>
      </w:r>
      <w:r>
        <w:rPr>
          <w:rFonts w:ascii="Arial" w:eastAsia="Arial" w:hAnsi="Arial" w:cs="Arial"/>
        </w:rPr>
        <w:t>the Net Capacity available during the period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4.8.3</w:t>
      </w:r>
      <w:r>
        <w:rPr>
          <w:rFonts w:ascii="Times New Roman" w:eastAsia="Times New Roman" w:hAnsi="Times New Roman" w:cs="Times New Roman"/>
          <w:sz w:val="14"/>
          <w:szCs w:val="14"/>
        </w:rPr>
        <w:t xml:space="preserve">      </w:t>
      </w:r>
      <w:r>
        <w:rPr>
          <w:rFonts w:ascii="Arial" w:eastAsia="Arial" w:hAnsi="Arial" w:cs="Arial"/>
        </w:rPr>
        <w:t>the Generator’s best estimate as to the likely duration of the Unplanned Outage; and</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4.8.4</w:t>
      </w:r>
      <w:r>
        <w:rPr>
          <w:rFonts w:ascii="Times New Roman" w:eastAsia="Times New Roman" w:hAnsi="Times New Roman" w:cs="Times New Roman"/>
          <w:sz w:val="14"/>
          <w:szCs w:val="14"/>
        </w:rPr>
        <w:t xml:space="preserve">      </w:t>
      </w:r>
      <w:r>
        <w:rPr>
          <w:rFonts w:ascii="Arial" w:eastAsia="Arial" w:hAnsi="Arial" w:cs="Arial"/>
        </w:rPr>
        <w:t>such other information as the Supplier may reasonably request regarding the Unplanned Outage,</w:t>
      </w:r>
    </w:p>
    <w:p w:rsidR="00AF194D" w:rsidRDefault="00AF53A3">
      <w:pPr>
        <w:widowControl w:val="0"/>
        <w:spacing w:after="200" w:line="276" w:lineRule="auto"/>
        <w:ind w:left="2409" w:hanging="705"/>
        <w:jc w:val="both"/>
        <w:rPr>
          <w:rFonts w:ascii="Arial" w:eastAsia="Arial" w:hAnsi="Arial" w:cs="Arial"/>
        </w:rPr>
      </w:pPr>
      <w:r>
        <w:rPr>
          <w:rFonts w:ascii="Arial" w:eastAsia="Arial" w:hAnsi="Arial" w:cs="Arial"/>
        </w:rPr>
        <w:t xml:space="preserve">and, if relevant, shall provide the Supplier with a Revised Forecast in accordance with Paragraph 3.6. </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Failure to advise of 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4.9</w:t>
      </w:r>
      <w:r>
        <w:rPr>
          <w:rFonts w:ascii="Times New Roman" w:eastAsia="Times New Roman" w:hAnsi="Times New Roman" w:cs="Times New Roman"/>
          <w:sz w:val="14"/>
          <w:szCs w:val="14"/>
        </w:rPr>
        <w:t xml:space="preserve">         </w:t>
      </w:r>
      <w:r>
        <w:rPr>
          <w:rFonts w:ascii="Arial" w:eastAsia="Arial" w:hAnsi="Arial" w:cs="Arial"/>
        </w:rPr>
        <w:t>For the purposes of this Paragraph 4:</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ATSBP</w:t>
      </w:r>
      <w:r>
        <w:rPr>
          <w:rFonts w:ascii="Arial" w:eastAsia="Arial" w:hAnsi="Arial" w:cs="Arial"/>
        </w:rPr>
        <w:t xml:space="preserve"> means for a period T, the average of the System Buy Price during that </w:t>
      </w:r>
      <w:r>
        <w:rPr>
          <w:rFonts w:ascii="Arial" w:eastAsia="Arial" w:hAnsi="Arial" w:cs="Arial"/>
        </w:rPr>
        <w:lastRenderedPageBreak/>
        <w:t>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ATSSP</w:t>
      </w:r>
      <w:r>
        <w:rPr>
          <w:rFonts w:ascii="Arial" w:eastAsia="Arial" w:hAnsi="Arial" w:cs="Arial"/>
        </w:rPr>
        <w:t xml:space="preserve"> means for a period T the average of the System Sell Price during that 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Breach Volume</w:t>
      </w:r>
      <w:r>
        <w:rPr>
          <w:rFonts w:ascii="Arial" w:eastAsia="Arial" w:hAnsi="Arial" w:cs="Arial"/>
        </w:rPr>
        <w:t xml:space="preserve"> is the absolute amount equal to the difference in MWh between:</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 xml:space="preserve">(i)     </w:t>
      </w:r>
      <w:r>
        <w:rPr>
          <w:rFonts w:ascii="Arial" w:eastAsia="Arial" w:hAnsi="Arial" w:cs="Arial"/>
        </w:rPr>
        <w:tab/>
        <w:t>the amount calculated as the sum of Electrical Output of the half-hourly Settlement Periods during the period ‘T’ in the latest Forecast, less any reduction in Electrical Output attributable to any net capacity reduction in respect of that period relating to a Planned Outage or a separate Unplanned Outage properly notified in accordance with this Annex; and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 xml:space="preserve">(ii)    </w:t>
      </w:r>
      <w:r>
        <w:rPr>
          <w:rFonts w:ascii="Arial" w:eastAsia="Arial" w:hAnsi="Arial" w:cs="Arial"/>
        </w:rPr>
        <w:tab/>
        <w:t>the amount calculated as the sum of the actual Electrical Output during each of the half-hourly Settlement Periods in the period ‘T’.</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DWTP</w:t>
      </w:r>
      <w:r>
        <w:rPr>
          <w:rFonts w:ascii="Arial" w:eastAsia="Arial" w:hAnsi="Arial" w:cs="Arial"/>
        </w:rPr>
        <w:t xml:space="preserve"> is the Electricity Price (EPP) howsoever calculated under the relevant Direct PPA; </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 xml:space="preserve">T </w:t>
      </w:r>
      <w:r>
        <w:rPr>
          <w:rFonts w:ascii="Arial" w:eastAsia="Arial" w:hAnsi="Arial" w:cs="Arial"/>
        </w:rPr>
        <w:t>means the number of elapsed hours between:</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 xml:space="preserve">(i)     </w:t>
      </w:r>
      <w:r>
        <w:rPr>
          <w:rFonts w:ascii="Arial" w:eastAsia="Arial" w:hAnsi="Arial" w:cs="Arial"/>
        </w:rPr>
        <w:tab/>
        <w:t>in the case of Un-notified Commencements (as defined below), the time  [</w:t>
      </w:r>
      <w:r>
        <w:rPr>
          <w:rFonts w:ascii="Arial" w:eastAsia="Arial" w:hAnsi="Arial" w:cs="Arial"/>
          <w:color w:val="FF0000"/>
        </w:rPr>
        <w:t>to be agreed</w:t>
      </w:r>
      <w:r>
        <w:rPr>
          <w:rFonts w:ascii="Arial" w:eastAsia="Arial" w:hAnsi="Arial" w:cs="Arial"/>
        </w:rPr>
        <w:t xml:space="preserve"> ] hours after the Unplanned Outage commenced and the earliest of: (a) the Supplier receiving notice that such Unplanned Outage has commenced; (b) the time of the Supplier having actual knowledge that such Unplanned Outage has commenced (the burden for demonstrating the time from which the Supplier had such knowledge being on the Authority); and (c) the Unplanned Outage ending; and</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 xml:space="preserve">(ii)    </w:t>
      </w:r>
      <w:r>
        <w:rPr>
          <w:rFonts w:ascii="Arial" w:eastAsia="Arial" w:hAnsi="Arial" w:cs="Arial"/>
        </w:rPr>
        <w:tab/>
        <w:t>in the case of Un-notified Cessations (as defined below), the time the Outage ended and the earliest of: (a) receipt by the Supplier of notice that such Outage has ended; (b) the Supplier having actual knowledge that such Outage has ended (the burden for demonstrating the time from which the Supplier had such knowledge being on the Authority); and (c) the time that the SCADA System (if operational) indicates that such Outage has ended.</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4.9.1</w:t>
      </w:r>
      <w:r>
        <w:rPr>
          <w:rFonts w:ascii="Times New Roman" w:eastAsia="Times New Roman" w:hAnsi="Times New Roman" w:cs="Times New Roman"/>
          <w:sz w:val="14"/>
          <w:szCs w:val="14"/>
        </w:rPr>
        <w:t xml:space="preserve">     </w:t>
      </w:r>
      <w:r>
        <w:rPr>
          <w:rFonts w:ascii="Arial" w:eastAsia="Arial" w:hAnsi="Arial" w:cs="Arial"/>
        </w:rPr>
        <w:t>On each occasion occurring during the Operating Period that the Generator fails to notify the Supplier in accordance with this Annex of the commencement of an Unplanned Outage (such commencement being an Un-notified Commencement) the Generator shall, pay to the Supplier, should the Supplier in its absolute discretion elect by notice to the Authority, by way of liquidated damages (being the Tolerance Fee) an amount calculated as follows and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(ATSBP - DWTP) * Breach Volume] = X</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4.9.2</w:t>
      </w:r>
      <w:r>
        <w:rPr>
          <w:rFonts w:ascii="Times New Roman" w:eastAsia="Times New Roman" w:hAnsi="Times New Roman" w:cs="Times New Roman"/>
          <w:sz w:val="14"/>
          <w:szCs w:val="14"/>
        </w:rPr>
        <w:t xml:space="preserve">     </w:t>
      </w:r>
      <w:r>
        <w:rPr>
          <w:rFonts w:ascii="Arial" w:eastAsia="Arial" w:hAnsi="Arial" w:cs="Arial"/>
        </w:rPr>
        <w:t xml:space="preserve">On each occasion occurring during the Operating Period that the Generator fails to notify the Supplier in accordance with this Annex of </w:t>
      </w:r>
      <w:r>
        <w:rPr>
          <w:rFonts w:ascii="Arial" w:eastAsia="Arial" w:hAnsi="Arial" w:cs="Arial"/>
        </w:rPr>
        <w:lastRenderedPageBreak/>
        <w:t>the end of an Outage (such end being an Un-notified Cessation) theGenerator shall,  pay to the Supplier, should the Supplier in its absolute discretion elect by notice to the Authority, by way of liquidated damages, (being the Tolerance Fee) an amount calculated as follows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(DWTP - ATSSP) * Breach Volume] = X</w:t>
      </w:r>
    </w:p>
    <w:p w:rsidR="00AF194D" w:rsidRDefault="00AF53A3">
      <w:pPr>
        <w:widowControl w:val="0"/>
        <w:spacing w:after="240" w:line="360" w:lineRule="auto"/>
        <w:ind w:left="2180" w:hanging="740"/>
        <w:rPr>
          <w:rFonts w:ascii="Arial" w:eastAsia="Arial" w:hAnsi="Arial" w:cs="Arial"/>
        </w:rPr>
      </w:pPr>
      <w:r>
        <w:rPr>
          <w:rFonts w:ascii="Arial" w:eastAsia="Arial" w:hAnsi="Arial" w:cs="Arial"/>
        </w:rPr>
        <w:t>4.9.3</w:t>
      </w:r>
      <w:r>
        <w:rPr>
          <w:rFonts w:ascii="Arial" w:eastAsia="Arial" w:hAnsi="Arial" w:cs="Arial"/>
        </w:rPr>
        <w:tab/>
        <w:t>The Tolerance Fee shall not be payable where the Generator’s non-performance is excused under the Direct PPA by reason of force majeure (as defined in the Direct PPA) where such event of force majeure prevents the Generator from notifying the Supplier of the Commencement of an Unplanned Outage and not where such event of force majeure merely gives rise to an Unplanned Outage.</w:t>
      </w:r>
    </w:p>
    <w:p w:rsidR="00AF194D" w:rsidRDefault="00AF53A3">
      <w:pPr>
        <w:widowControl w:val="0"/>
        <w:spacing w:after="240" w:line="360" w:lineRule="auto"/>
        <w:ind w:left="1400" w:hanging="700"/>
        <w:rPr>
          <w:rFonts w:ascii="Arial" w:eastAsia="Arial" w:hAnsi="Arial" w:cs="Arial"/>
          <w:sz w:val="16"/>
          <w:szCs w:val="16"/>
        </w:rPr>
      </w:pPr>
      <w:r>
        <w:rPr>
          <w:rFonts w:ascii="Arial" w:eastAsia="Arial" w:hAnsi="Arial" w:cs="Arial"/>
        </w:rPr>
        <w:t>4.10</w:t>
      </w:r>
      <w:r>
        <w:rPr>
          <w:rFonts w:ascii="Times New Roman" w:eastAsia="Times New Roman" w:hAnsi="Times New Roman" w:cs="Times New Roman"/>
          <w:sz w:val="14"/>
          <w:szCs w:val="14"/>
        </w:rPr>
        <w:t xml:space="preserve">       </w:t>
      </w:r>
      <w:r>
        <w:rPr>
          <w:rFonts w:ascii="Arial" w:eastAsia="Arial" w:hAnsi="Arial" w:cs="Arial"/>
        </w:rPr>
        <w:t>Without prejudice to the overall cap on liability set out in Clause 14, the Authority’s liability under this Annex 7 shall in no circumstances exceed the sum recoverable by the Authority from the Generator under the relevant Direct PPA (being [to be agreed] per year under the  Direct PPA).</w:t>
      </w:r>
      <w:r>
        <w:rPr>
          <w:rFonts w:ascii="Arial" w:eastAsia="Arial" w:hAnsi="Arial" w:cs="Arial"/>
          <w:sz w:val="16"/>
          <w:szCs w:val="16"/>
        </w:rPr>
        <w:t xml:space="preserve"> </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8 – EMBEDDED GENERATION</w:t>
      </w:r>
    </w:p>
    <w:p w:rsidR="00AF194D" w:rsidRDefault="00AF53A3">
      <w:pPr>
        <w:widowControl w:val="0"/>
        <w:spacing w:after="0" w:line="276" w:lineRule="auto"/>
        <w:rPr>
          <w:rFonts w:ascii="Arial" w:eastAsia="Arial" w:hAnsi="Arial" w:cs="Arial"/>
          <w:b/>
        </w:rPr>
      </w:pPr>
      <w:r>
        <w:rPr>
          <w:rFonts w:ascii="Arial" w:eastAsia="Arial" w:hAnsi="Arial" w:cs="Arial"/>
          <w:b/>
        </w:rPr>
        <w:t xml:space="preserve">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Embedded Generation by Customers/the Authority</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Where a Customer generates electricity on its own Site(s), such Site(s) is/are connected to the Distribution Network and that Customer wishes to export electricity which it does not consume to the Distribution Network, the Supplier shall buy that exported electricity where requested to do so by the Customer.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 xml:space="preserve">Where the Authority intends to enter into arrangements with a third party to generate electricity on a Site and to purchase that electricity, the Authority may elect to treat those purchase arrangements as a </w:t>
      </w:r>
      <w:r>
        <w:rPr>
          <w:rFonts w:ascii="Arial" w:eastAsia="Arial" w:hAnsi="Arial" w:cs="Arial"/>
        </w:rPr>
        <w:lastRenderedPageBreak/>
        <w:t xml:space="preserve">New Direct PPA in accordance with Annex 1.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Information in relation to Embedded Generation</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r>
        <w:rPr>
          <w:rFonts w:ascii="Arial" w:eastAsia="Arial" w:hAnsi="Arial" w:cs="Arial"/>
        </w:rPr>
        <w:t>Where a Customer requests that the Supplier enters into an onsite purchase agreement (“</w:t>
      </w:r>
      <w:r>
        <w:rPr>
          <w:rFonts w:ascii="Arial" w:eastAsia="Arial" w:hAnsi="Arial" w:cs="Arial"/>
          <w:b/>
        </w:rPr>
        <w:t>OPA</w:t>
      </w:r>
      <w:r>
        <w:rPr>
          <w:rFonts w:ascii="Arial" w:eastAsia="Arial" w:hAnsi="Arial" w:cs="Arial"/>
        </w:rPr>
        <w:t>”) with it, the Supplier may request the Customer to provide the information set out in Paragraph 2.2.</w:t>
      </w:r>
    </w:p>
    <w:p w:rsidR="00AF194D" w:rsidRDefault="00AF53A3">
      <w:pPr>
        <w:widowControl w:val="0"/>
        <w:spacing w:after="120" w:line="360" w:lineRule="auto"/>
        <w:ind w:left="1700" w:hanging="69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r>
        <w:rPr>
          <w:rFonts w:ascii="Arial" w:eastAsia="Arial" w:hAnsi="Arial" w:cs="Arial"/>
        </w:rPr>
        <w:t>The information referred to in Paragraph 2.1 is:</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2.2.1</w:t>
      </w:r>
      <w:r>
        <w:rPr>
          <w:rFonts w:ascii="Times New Roman" w:eastAsia="Times New Roman" w:hAnsi="Times New Roman" w:cs="Times New Roman"/>
          <w:sz w:val="14"/>
          <w:szCs w:val="14"/>
        </w:rPr>
        <w:t xml:space="preserve">       </w:t>
      </w:r>
      <w:r>
        <w:rPr>
          <w:rFonts w:ascii="Arial" w:eastAsia="Arial" w:hAnsi="Arial" w:cs="Arial"/>
        </w:rPr>
        <w:t>the location and description of the generation facility, including its fuel or technology type, its actual or anticipated Net Capacity, the Delivery Point and whether it is a baseload (having an expected or actual load factor of 0.8 or greater) or intermittent facility;</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2.2.2</w:t>
      </w:r>
      <w:r>
        <w:rPr>
          <w:rFonts w:ascii="Times New Roman" w:eastAsia="Times New Roman" w:hAnsi="Times New Roman" w:cs="Times New Roman"/>
          <w:sz w:val="14"/>
          <w:szCs w:val="14"/>
        </w:rPr>
        <w:t xml:space="preserve">       </w:t>
      </w:r>
      <w:r>
        <w:rPr>
          <w:rFonts w:ascii="Arial" w:eastAsia="Arial" w:hAnsi="Arial" w:cs="Arial"/>
        </w:rPr>
        <w:t>the anticipated or actual dates on which the facility will commence, or has commenced, commissioning and full operation;</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2.2.3</w:t>
      </w:r>
      <w:r>
        <w:rPr>
          <w:rFonts w:ascii="Times New Roman" w:eastAsia="Times New Roman" w:hAnsi="Times New Roman" w:cs="Times New Roman"/>
          <w:sz w:val="14"/>
          <w:szCs w:val="14"/>
        </w:rPr>
        <w:t xml:space="preserve">       </w:t>
      </w:r>
      <w:r>
        <w:rPr>
          <w:rFonts w:ascii="Arial" w:eastAsia="Arial" w:hAnsi="Arial" w:cs="Arial"/>
        </w:rPr>
        <w:t>the anticipated date from which the Supplier is required to purchase electricity under the OPA;</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2.2.4</w:t>
      </w:r>
      <w:r>
        <w:rPr>
          <w:rFonts w:ascii="Times New Roman" w:eastAsia="Times New Roman" w:hAnsi="Times New Roman" w:cs="Times New Roman"/>
          <w:sz w:val="14"/>
          <w:szCs w:val="14"/>
        </w:rPr>
        <w:t xml:space="preserve">       </w:t>
      </w:r>
      <w:r>
        <w:rPr>
          <w:rFonts w:ascii="Arial" w:eastAsia="Arial" w:hAnsi="Arial" w:cs="Arial"/>
        </w:rPr>
        <w:t>whether there is a fixed proportion of the Electrical Output of the facility that the Customer wishes to sell to the Supplier;</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2.2.5</w:t>
      </w:r>
      <w:r>
        <w:rPr>
          <w:rFonts w:ascii="Times New Roman" w:eastAsia="Times New Roman" w:hAnsi="Times New Roman" w:cs="Times New Roman"/>
          <w:sz w:val="14"/>
          <w:szCs w:val="14"/>
        </w:rPr>
        <w:t xml:space="preserve">       </w:t>
      </w:r>
      <w:r>
        <w:rPr>
          <w:rFonts w:ascii="Arial" w:eastAsia="Arial" w:hAnsi="Arial" w:cs="Arial"/>
        </w:rPr>
        <w:t>whether there will be an generation meter compliant with the BSC to measure the export of electricity produced;</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2.2.6</w:t>
      </w:r>
      <w:r>
        <w:rPr>
          <w:rFonts w:ascii="Times New Roman" w:eastAsia="Times New Roman" w:hAnsi="Times New Roman" w:cs="Times New Roman"/>
          <w:sz w:val="14"/>
          <w:szCs w:val="14"/>
        </w:rPr>
        <w:t xml:space="preserve">       </w:t>
      </w:r>
      <w:r>
        <w:rPr>
          <w:rFonts w:ascii="Arial" w:eastAsia="Arial" w:hAnsi="Arial" w:cs="Arial"/>
        </w:rPr>
        <w:t>whether ROCs are to be sold to the Supplier or will be sold separately or whether the FIT will apply or whether the Customer intends to enter into a Contract for Differences;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2.2.7</w:t>
      </w:r>
      <w:r>
        <w:rPr>
          <w:rFonts w:ascii="Times New Roman" w:eastAsia="Times New Roman" w:hAnsi="Times New Roman" w:cs="Times New Roman"/>
          <w:sz w:val="14"/>
          <w:szCs w:val="14"/>
        </w:rPr>
        <w:t xml:space="preserve">         </w:t>
      </w:r>
      <w:r>
        <w:rPr>
          <w:rFonts w:ascii="Arial" w:eastAsia="Arial" w:hAnsi="Arial" w:cs="Arial"/>
        </w:rPr>
        <w:t>any other information reasonably requested by the Supplier.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Entering into an OPA</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Where the Customer requests that the Supplier enters into an OPA, the Supplier shall  propose an agreement with the Customer on the Supplier’s standard terms for the purchase of excess generated electricity (subject to incorporating the principles set out in this Annex 8). These principles will include: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3.1.1</w:t>
      </w:r>
      <w:r>
        <w:rPr>
          <w:rFonts w:ascii="Times New Roman" w:eastAsia="Times New Roman" w:hAnsi="Times New Roman" w:cs="Times New Roman"/>
          <w:sz w:val="14"/>
          <w:szCs w:val="14"/>
        </w:rPr>
        <w:t xml:space="preserve">     </w:t>
      </w:r>
      <w:r>
        <w:rPr>
          <w:rFonts w:ascii="Arial" w:eastAsia="Arial" w:hAnsi="Arial" w:cs="Arial"/>
        </w:rPr>
        <w:t>the Customer being required to have a BSC compliant generation meter to measure the export of electricity produced  or that the Customer will be required to provide the Supplier with its total generation reading, 3.1.2</w:t>
      </w:r>
      <w:r>
        <w:rPr>
          <w:rFonts w:ascii="Times New Roman" w:eastAsia="Times New Roman" w:hAnsi="Times New Roman" w:cs="Times New Roman"/>
          <w:sz w:val="14"/>
          <w:szCs w:val="14"/>
        </w:rPr>
        <w:t xml:space="preserve">         </w:t>
      </w:r>
      <w:r>
        <w:rPr>
          <w:rFonts w:ascii="Arial" w:eastAsia="Arial" w:hAnsi="Arial" w:cs="Arial"/>
        </w:rPr>
        <w:t>the Customer being required to have a Generation Licence or the benefit of an Exemption;</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lastRenderedPageBreak/>
        <w:t>3.1.3</w:t>
      </w:r>
      <w:r>
        <w:rPr>
          <w:rFonts w:ascii="Times New Roman" w:eastAsia="Times New Roman" w:hAnsi="Times New Roman" w:cs="Times New Roman"/>
          <w:sz w:val="14"/>
          <w:szCs w:val="14"/>
        </w:rPr>
        <w:t xml:space="preserve">   </w:t>
      </w:r>
      <w:r>
        <w:rPr>
          <w:rFonts w:ascii="Arial" w:eastAsia="Arial" w:hAnsi="Arial" w:cs="Arial"/>
        </w:rPr>
        <w:t>the Customer being required to have an appropriate connection agreement in place with its Distribution Network Operator;</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3.1.4</w:t>
      </w:r>
      <w:r>
        <w:rPr>
          <w:rFonts w:ascii="Times New Roman" w:eastAsia="Times New Roman" w:hAnsi="Times New Roman" w:cs="Times New Roman"/>
          <w:sz w:val="14"/>
          <w:szCs w:val="14"/>
        </w:rPr>
        <w:t xml:space="preserve">     </w:t>
      </w:r>
      <w:r>
        <w:rPr>
          <w:rFonts w:ascii="Arial" w:eastAsia="Arial" w:hAnsi="Arial" w:cs="Arial"/>
        </w:rPr>
        <w:t>the Customer having given at least one month’s notice to Supplier before the proposed first supply date;</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3.1.5</w:t>
      </w:r>
      <w:r>
        <w:rPr>
          <w:rFonts w:ascii="Times New Roman" w:eastAsia="Times New Roman" w:hAnsi="Times New Roman" w:cs="Times New Roman"/>
          <w:sz w:val="14"/>
          <w:szCs w:val="14"/>
        </w:rPr>
        <w:t xml:space="preserve">    </w:t>
      </w:r>
      <w:r>
        <w:rPr>
          <w:rFonts w:ascii="Arial" w:eastAsia="Arial" w:hAnsi="Arial" w:cs="Arial"/>
        </w:rPr>
        <w:t>the Supplier having an exclusive right to purchase the electricity exported, together with any and all non-financial or financial benefits, certificates, allowances, exemptions or reliefs received or accrued, or capable of being received or accrued, by the Customer and that are associated with the generation of the excess electricity (“</w:t>
      </w:r>
      <w:r>
        <w:rPr>
          <w:rFonts w:ascii="Arial" w:eastAsia="Arial" w:hAnsi="Arial" w:cs="Arial"/>
          <w:b/>
        </w:rPr>
        <w:t>Associated Benefits</w:t>
      </w:r>
      <w:r>
        <w:rPr>
          <w:rFonts w:ascii="Arial" w:eastAsia="Arial" w:hAnsi="Arial" w:cs="Arial"/>
        </w:rPr>
        <w:t>”), provided that purchase of any new or replacement Associated Benefits will be subject to an agreement on price;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3.1.6</w:t>
      </w:r>
      <w:r>
        <w:rPr>
          <w:rFonts w:ascii="Times New Roman" w:eastAsia="Times New Roman" w:hAnsi="Times New Roman" w:cs="Times New Roman"/>
          <w:sz w:val="14"/>
          <w:szCs w:val="14"/>
        </w:rPr>
        <w:t xml:space="preserve">    </w:t>
      </w:r>
      <w:r>
        <w:rPr>
          <w:rFonts w:ascii="Arial" w:eastAsia="Arial" w:hAnsi="Arial" w:cs="Arial"/>
        </w:rPr>
        <w:t>the Supplier being required to be the Registrant for the metered output and to appoint a Data Collector and Data Aggregator calculating the output;</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3.1.7</w:t>
      </w:r>
      <w:r>
        <w:rPr>
          <w:rFonts w:ascii="Times New Roman" w:eastAsia="Times New Roman" w:hAnsi="Times New Roman" w:cs="Times New Roman"/>
          <w:sz w:val="14"/>
          <w:szCs w:val="14"/>
        </w:rPr>
        <w:t xml:space="preserve">     </w:t>
      </w:r>
      <w:r>
        <w:rPr>
          <w:rFonts w:ascii="Arial" w:eastAsia="Arial" w:hAnsi="Arial" w:cs="Arial"/>
        </w:rPr>
        <w:t>the Customer being required to  provide agreed notice of planned maintenance and outages;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3.1.8</w:t>
      </w:r>
      <w:r>
        <w:rPr>
          <w:rFonts w:ascii="Times New Roman" w:eastAsia="Times New Roman" w:hAnsi="Times New Roman" w:cs="Times New Roman"/>
          <w:sz w:val="14"/>
          <w:szCs w:val="14"/>
        </w:rPr>
        <w:t xml:space="preserve">    </w:t>
      </w:r>
      <w:r>
        <w:rPr>
          <w:rFonts w:ascii="Arial" w:eastAsia="Arial" w:hAnsi="Arial" w:cs="Arial"/>
        </w:rPr>
        <w:t xml:space="preserve">where the Customer generating electricity to be exported is a FIT Generator the Customer may, at its option from time to time, submit either a FIT Opt-Out Notification or a FIT Opt-In Notification and in the latter case shall be entitled to receive export FIT payments from the Supplier pursuant to the FIT.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4</w:t>
      </w:r>
      <w:r>
        <w:rPr>
          <w:rFonts w:ascii="Times New Roman" w:eastAsia="Times New Roman" w:hAnsi="Times New Roman" w:cs="Times New Roman"/>
          <w:sz w:val="14"/>
          <w:szCs w:val="14"/>
        </w:rPr>
        <w:t xml:space="preserve">             </w:t>
      </w:r>
      <w:r>
        <w:rPr>
          <w:rFonts w:ascii="Arial" w:eastAsia="Arial" w:hAnsi="Arial" w:cs="Arial"/>
          <w:b/>
        </w:rPr>
        <w:t>Pricing and invoicing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Supplier will accept delivery of the excess electricity at each relevant Site at the price set by a Day Ahead Index agreed between the Parties (each acting reasonably), save where the Customer has made a FIT Opt-in Notification and elected to receive FIT payments for its exported electricity under the FIT from the Supplier.</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price shall either be increased or decreased by the total of GDUoS charges.</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The Supplier shall provide to each Customer with whom it has entered into an OPA, with a copy to the Authority, a Monthly statement showing: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4.3.1</w:t>
      </w:r>
      <w:r>
        <w:rPr>
          <w:rFonts w:ascii="Times New Roman" w:eastAsia="Times New Roman" w:hAnsi="Times New Roman" w:cs="Times New Roman"/>
          <w:sz w:val="14"/>
          <w:szCs w:val="14"/>
        </w:rPr>
        <w:t xml:space="preserve">      </w:t>
      </w:r>
      <w:r>
        <w:rPr>
          <w:rFonts w:ascii="Arial" w:eastAsia="Arial" w:hAnsi="Arial" w:cs="Arial"/>
        </w:rPr>
        <w:t>the electricity delivered by the Customer to the Supplier that Month  in respect of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lastRenderedPageBreak/>
        <w:t>4.3.2</w:t>
      </w:r>
      <w:r>
        <w:rPr>
          <w:rFonts w:ascii="Times New Roman" w:eastAsia="Times New Roman" w:hAnsi="Times New Roman" w:cs="Times New Roman"/>
          <w:sz w:val="14"/>
          <w:szCs w:val="14"/>
        </w:rPr>
        <w:t xml:space="preserve">    </w:t>
      </w:r>
      <w:r>
        <w:rPr>
          <w:rFonts w:ascii="Arial" w:eastAsia="Arial" w:hAnsi="Arial" w:cs="Arial"/>
        </w:rPr>
        <w:t>the number of each Associated Benefit issued in respect of each relevant Site transferred to the Supplier’s Registry Account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4.3.3</w:t>
      </w:r>
      <w:r>
        <w:rPr>
          <w:rFonts w:ascii="Times New Roman" w:eastAsia="Times New Roman" w:hAnsi="Times New Roman" w:cs="Times New Roman"/>
          <w:sz w:val="14"/>
          <w:szCs w:val="14"/>
        </w:rPr>
        <w:t xml:space="preserve">      </w:t>
      </w:r>
      <w:r>
        <w:rPr>
          <w:rFonts w:ascii="Arial" w:eastAsia="Arial" w:hAnsi="Arial" w:cs="Arial"/>
        </w:rPr>
        <w:t>the number or value (as applicable) of new Associated Benefits (if any) generated by the Customer at each Site in question and transferred to the Supplier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4.3.4</w:t>
      </w:r>
      <w:r>
        <w:rPr>
          <w:rFonts w:ascii="Times New Roman" w:eastAsia="Times New Roman" w:hAnsi="Times New Roman" w:cs="Times New Roman"/>
          <w:sz w:val="14"/>
          <w:szCs w:val="14"/>
        </w:rPr>
        <w:t xml:space="preserve">      </w:t>
      </w:r>
      <w:r>
        <w:rPr>
          <w:rFonts w:ascii="Arial" w:eastAsia="Arial" w:hAnsi="Arial" w:cs="Arial"/>
        </w:rPr>
        <w:t>the value of any Associated Benefits realised by the Supplier in that Month in relation to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4.3.5</w:t>
      </w:r>
      <w:r>
        <w:rPr>
          <w:rFonts w:ascii="Times New Roman" w:eastAsia="Times New Roman" w:hAnsi="Times New Roman" w:cs="Times New Roman"/>
          <w:sz w:val="14"/>
          <w:szCs w:val="14"/>
        </w:rPr>
        <w:t xml:space="preserve">      </w:t>
      </w:r>
      <w:r>
        <w:rPr>
          <w:rFonts w:ascii="Arial" w:eastAsia="Arial" w:hAnsi="Arial" w:cs="Arial"/>
        </w:rPr>
        <w:t>any other information reasonably requested by the Authority; and</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4.3.6</w:t>
      </w:r>
      <w:r>
        <w:rPr>
          <w:rFonts w:ascii="Times New Roman" w:eastAsia="Times New Roman" w:hAnsi="Times New Roman" w:cs="Times New Roman"/>
          <w:sz w:val="14"/>
          <w:szCs w:val="14"/>
        </w:rPr>
        <w:t xml:space="preserve">      </w:t>
      </w:r>
      <w:r>
        <w:rPr>
          <w:rFonts w:ascii="Arial" w:eastAsia="Arial" w:hAnsi="Arial" w:cs="Arial"/>
        </w:rPr>
        <w:t>the total amount payable by the Supplier to the Customer (in such detail as required by the Customer and in any event including accurate information on the amount of VAT payable as part of this total).</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 xml:space="preserve">The Supplier shall incorporate each Customer’s monthly statement relating to the OPA into its invoicing arrangements with that Customer under the Customer Contract, so that the Customer receives one consolidated invoice for its supply under the OPA and its purchase under the Customer Contract. If the Supplier is the net creditor, it may require the specified amount from the Customer. If the Customer is the net creditor it may invoice the Supplier and the Supplier shall promptly pay any such sum to the Customer. </w:t>
      </w:r>
    </w:p>
    <w:p w:rsidR="00AF194D" w:rsidRDefault="00AF53A3">
      <w:pPr>
        <w:widowControl w:val="0"/>
        <w:spacing w:after="120" w:line="360" w:lineRule="auto"/>
        <w:ind w:left="2409" w:hanging="72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r>
        <w:rPr>
          <w:rFonts w:ascii="Arial" w:eastAsia="Arial" w:hAnsi="Arial" w:cs="Arial"/>
        </w:rPr>
        <w:t>The OPA shall include appropriate post termination invoicing arrangements.</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5</w:t>
      </w:r>
      <w:r>
        <w:rPr>
          <w:rFonts w:ascii="Times New Roman" w:eastAsia="Times New Roman" w:hAnsi="Times New Roman" w:cs="Times New Roman"/>
          <w:sz w:val="14"/>
          <w:szCs w:val="14"/>
        </w:rPr>
        <w:t xml:space="preserve">             </w:t>
      </w:r>
      <w:r>
        <w:rPr>
          <w:rFonts w:ascii="Arial" w:eastAsia="Arial" w:hAnsi="Arial" w:cs="Arial"/>
          <w:b/>
        </w:rPr>
        <w:t>ROCs and other Associated Benefits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5.1   </w:t>
      </w:r>
      <w:r>
        <w:rPr>
          <w:rFonts w:ascii="Arial" w:eastAsia="Arial" w:hAnsi="Arial" w:cs="Arial"/>
        </w:rPr>
        <w:tab/>
        <w:t>The Customer may (where relevant) maintain Accreditation for REGOs and ROCs, from the commencement of supply to the Supplier until the earlier of the: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5.1.1</w:t>
      </w:r>
      <w:r>
        <w:rPr>
          <w:rFonts w:ascii="Arial" w:eastAsia="Arial" w:hAnsi="Arial" w:cs="Arial"/>
        </w:rPr>
        <w:tab/>
        <w:t>the expiry or earlier termination of this Framework Agreement;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5.1.2</w:t>
      </w:r>
      <w:r>
        <w:rPr>
          <w:rFonts w:ascii="Arial" w:eastAsia="Arial" w:hAnsi="Arial" w:cs="Arial"/>
        </w:rPr>
        <w:tab/>
        <w:t>the expiry or earlier termination of the relevant OPA;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5.1.3</w:t>
      </w:r>
      <w:r>
        <w:rPr>
          <w:rFonts w:ascii="Arial" w:eastAsia="Arial" w:hAnsi="Arial" w:cs="Arial"/>
        </w:rPr>
        <w:tab/>
        <w:t>the relevant Associated Benefit no longer being the subject of the OPA following a Relevant Change.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5.2   </w:t>
      </w:r>
      <w:r>
        <w:rPr>
          <w:rFonts w:ascii="Arial" w:eastAsia="Arial" w:hAnsi="Arial" w:cs="Arial"/>
        </w:rPr>
        <w:tab/>
        <w:t xml:space="preserve">Where the Customer maintains Accreditation for Associated Benefits, the Customer shall appoint the Supplier to act as the Customer’s </w:t>
      </w:r>
      <w:r>
        <w:rPr>
          <w:rFonts w:ascii="Arial" w:eastAsia="Arial" w:hAnsi="Arial" w:cs="Arial"/>
        </w:rPr>
        <w:lastRenderedPageBreak/>
        <w:t>agent (at no additional cost) to act as the Customer’s agent in obtaining Accreditation, submitting data from meters  to Ofgem and shall purchase any Associated Benefits. The Supplier shall pay an amount equal to at least 90% of the value of such Associated Benefits received by the Supplier to the Customer.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6</w:t>
      </w:r>
      <w:r>
        <w:rPr>
          <w:rFonts w:ascii="Times New Roman" w:eastAsia="Times New Roman" w:hAnsi="Times New Roman" w:cs="Times New Roman"/>
          <w:sz w:val="14"/>
          <w:szCs w:val="14"/>
        </w:rPr>
        <w:t xml:space="preserve">             </w:t>
      </w:r>
      <w:r>
        <w:rPr>
          <w:rFonts w:ascii="Arial" w:eastAsia="Arial" w:hAnsi="Arial" w:cs="Arial"/>
          <w:b/>
        </w:rPr>
        <w:t>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6.1</w:t>
      </w:r>
      <w:r>
        <w:rPr>
          <w:rFonts w:ascii="Times New Roman" w:eastAsia="Times New Roman" w:hAnsi="Times New Roman" w:cs="Times New Roman"/>
          <w:sz w:val="14"/>
          <w:szCs w:val="14"/>
        </w:rPr>
        <w:t xml:space="preserve">         </w:t>
      </w:r>
      <w:r>
        <w:rPr>
          <w:rFonts w:ascii="Arial" w:eastAsia="Arial" w:hAnsi="Arial" w:cs="Arial"/>
        </w:rPr>
        <w:t>Where the Customer is a FIT Generator, the Supplier shall make FIT generation payments to the Customer in accordance with the requirements of the FIT each Quarter.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6.2</w:t>
      </w:r>
      <w:r>
        <w:rPr>
          <w:rFonts w:ascii="Times New Roman" w:eastAsia="Times New Roman" w:hAnsi="Times New Roman" w:cs="Times New Roman"/>
          <w:sz w:val="14"/>
          <w:szCs w:val="14"/>
        </w:rPr>
        <w:t xml:space="preserve">     </w:t>
      </w:r>
      <w:r>
        <w:rPr>
          <w:rFonts w:ascii="Arial" w:eastAsia="Arial" w:hAnsi="Arial" w:cs="Arial"/>
        </w:rPr>
        <w:t>Where the Customer has submitted a FIT Opt-in Notification, the Supplier shall make FIT payments in respect of the electricity exported by the Customer in accordance with the requirements of the FIT each Quarter.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7</w:t>
      </w:r>
      <w:r>
        <w:rPr>
          <w:rFonts w:ascii="Times New Roman" w:eastAsia="Times New Roman" w:hAnsi="Times New Roman" w:cs="Times New Roman"/>
          <w:sz w:val="14"/>
          <w:szCs w:val="14"/>
        </w:rPr>
        <w:t xml:space="preserve">             </w:t>
      </w:r>
      <w:r>
        <w:rPr>
          <w:rFonts w:ascii="Arial" w:eastAsia="Arial" w:hAnsi="Arial" w:cs="Arial"/>
          <w:b/>
        </w:rPr>
        <w:t>CFDs</w:t>
      </w:r>
    </w:p>
    <w:p w:rsidR="00AF194D" w:rsidRDefault="00AF53A3">
      <w:pPr>
        <w:widowControl w:val="0"/>
        <w:spacing w:after="120" w:line="360" w:lineRule="auto"/>
        <w:ind w:left="566"/>
        <w:jc w:val="both"/>
        <w:rPr>
          <w:rFonts w:ascii="Arial" w:eastAsia="Arial" w:hAnsi="Arial" w:cs="Arial"/>
        </w:rPr>
      </w:pPr>
      <w:r>
        <w:rPr>
          <w:rFonts w:ascii="Arial" w:eastAsia="Arial" w:hAnsi="Arial" w:cs="Arial"/>
        </w:rPr>
        <w:t>The Customer may elect to enter into a Contract for Difference in relation to the electricity exported by it rather than maintaining Accreditation for ROCs.</w:t>
      </w:r>
    </w:p>
    <w:p w:rsidR="00AF194D" w:rsidRDefault="00AF194D">
      <w:pPr>
        <w:widowControl w:val="0"/>
        <w:spacing w:after="0" w:line="276" w:lineRule="auto"/>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sectPr w:rsidR="00AF194D">
          <w:headerReference w:type="default" r:id="rId12"/>
          <w:footerReference w:type="default" r:id="rId13"/>
          <w:pgSz w:w="11909" w:h="16834"/>
          <w:pgMar w:top="1440" w:right="1440" w:bottom="523" w:left="1417" w:header="720" w:footer="720" w:gutter="0"/>
          <w:pgNumType w:start="1"/>
          <w:cols w:space="720"/>
        </w:sectPr>
      </w:pPr>
      <w:r>
        <w:br w:type="page"/>
      </w:r>
    </w:p>
    <w:p w:rsidR="00AF194D" w:rsidRDefault="00AF194D"/>
    <w:sectPr w:rsidR="00AF194D">
      <w:type w:val="continuous"/>
      <w:pgSz w:w="11909" w:h="16834"/>
      <w:pgMar w:top="1440" w:right="1440" w:bottom="523"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C71" w:rsidRDefault="00DF2C71">
      <w:pPr>
        <w:spacing w:after="0" w:line="240" w:lineRule="auto"/>
      </w:pPr>
      <w:r>
        <w:separator/>
      </w:r>
    </w:p>
  </w:endnote>
  <w:endnote w:type="continuationSeparator" w:id="0">
    <w:p w:rsidR="00DF2C71" w:rsidRDefault="00DF2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8533500"/>
      <w:docPartObj>
        <w:docPartGallery w:val="Page Numbers (Bottom of Page)"/>
        <w:docPartUnique/>
      </w:docPartObj>
    </w:sdtPr>
    <w:sdtEndPr>
      <w:rPr>
        <w:noProof/>
      </w:rPr>
    </w:sdtEndPr>
    <w:sdtContent>
      <w:p w:rsidR="00025C57" w:rsidRDefault="00025C57">
        <w:pPr>
          <w:pStyle w:val="Footer"/>
          <w:jc w:val="center"/>
        </w:pPr>
        <w:r>
          <w:fldChar w:fldCharType="begin"/>
        </w:r>
        <w:r>
          <w:instrText xml:space="preserve"> PAGE   \* MERGEFORMAT </w:instrText>
        </w:r>
        <w:r>
          <w:fldChar w:fldCharType="separate"/>
        </w:r>
        <w:r w:rsidR="00B65738">
          <w:rPr>
            <w:noProof/>
          </w:rPr>
          <w:t>1</w:t>
        </w:r>
        <w:r>
          <w:rPr>
            <w:noProof/>
          </w:rPr>
          <w:fldChar w:fldCharType="end"/>
        </w:r>
      </w:p>
    </w:sdtContent>
  </w:sdt>
  <w:p w:rsidR="00025C57" w:rsidRDefault="00025C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C71" w:rsidRDefault="00DF2C71">
      <w:pPr>
        <w:spacing w:after="0" w:line="240" w:lineRule="auto"/>
      </w:pPr>
      <w:r>
        <w:separator/>
      </w:r>
    </w:p>
  </w:footnote>
  <w:footnote w:type="continuationSeparator" w:id="0">
    <w:p w:rsidR="00DF2C71" w:rsidRDefault="00DF2C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94D" w:rsidRDefault="00AF53A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AGREEMENT FOR THE SUPPLY OF ENERGY AND ANCILLARY SERVICES</w:t>
    </w:r>
  </w:p>
  <w:p w:rsidR="00AF194D" w:rsidRDefault="00AF53A3">
    <w:pPr>
      <w:pBdr>
        <w:top w:val="nil"/>
        <w:left w:val="nil"/>
        <w:bottom w:val="nil"/>
        <w:right w:val="nil"/>
        <w:between w:val="nil"/>
      </w:pBdr>
      <w:tabs>
        <w:tab w:val="center" w:pos="4513"/>
        <w:tab w:val="right" w:pos="9026"/>
      </w:tabs>
      <w:spacing w:after="0" w:line="240" w:lineRule="auto"/>
      <w:rPr>
        <w:rFonts w:ascii="Times New Roman" w:eastAsia="Times New Roman" w:hAnsi="Times New Roman" w:cs="Times New Roman"/>
        <w:color w:val="000000"/>
        <w:sz w:val="20"/>
        <w:szCs w:val="20"/>
      </w:rPr>
    </w:pPr>
    <w:r>
      <w:rPr>
        <w:rFonts w:ascii="Arial" w:eastAsia="Arial" w:hAnsi="Arial" w:cs="Arial"/>
        <w:color w:val="000000"/>
      </w:rPr>
      <w:t xml:space="preserve">                                                                                                 </w:t>
    </w:r>
    <w:r>
      <w:rPr>
        <w:rFonts w:ascii="Arial" w:eastAsia="Arial" w:hAnsi="Arial" w:cs="Arial"/>
      </w:rPr>
      <w:t>Lot 1 Electricity</w:t>
    </w:r>
    <w:r>
      <w:rPr>
        <w:rFonts w:ascii="Arial" w:eastAsia="Arial" w:hAnsi="Arial" w:cs="Arial"/>
        <w:color w:val="000000"/>
      </w:rPr>
      <w:t xml:space="preserve"> – Schedule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18E0"/>
    <w:multiLevelType w:val="multilevel"/>
    <w:tmpl w:val="E928200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1" w15:restartNumberingAfterBreak="0">
    <w:nsid w:val="1E026334"/>
    <w:multiLevelType w:val="multilevel"/>
    <w:tmpl w:val="2EA6FE6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2" w15:restartNumberingAfterBreak="0">
    <w:nsid w:val="202159DC"/>
    <w:multiLevelType w:val="multilevel"/>
    <w:tmpl w:val="07B613BC"/>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3" w15:restartNumberingAfterBreak="0">
    <w:nsid w:val="2B7A2472"/>
    <w:multiLevelType w:val="multilevel"/>
    <w:tmpl w:val="E7203A56"/>
    <w:lvl w:ilvl="0">
      <w:start w:val="1"/>
      <w:numFmt w:val="decimal"/>
      <w:lvlText w:val="%1"/>
      <w:lvlJc w:val="left"/>
      <w:pPr>
        <w:ind w:left="709" w:hanging="709"/>
      </w:pPr>
      <w:rPr>
        <w:b w:val="0"/>
      </w:rPr>
    </w:lvl>
    <w:lvl w:ilvl="1">
      <w:start w:val="1"/>
      <w:numFmt w:val="decimal"/>
      <w:lvlText w:val="%1.%2"/>
      <w:lvlJc w:val="left"/>
      <w:pPr>
        <w:ind w:left="709" w:hanging="709"/>
      </w:pPr>
      <w:rPr>
        <w:i w:val="0"/>
        <w:strike w:val="0"/>
      </w:rPr>
    </w:lvl>
    <w:lvl w:ilvl="2">
      <w:start w:val="1"/>
      <w:numFmt w:val="decimal"/>
      <w:lvlText w:val="%1.%2.%3"/>
      <w:lvlJc w:val="left"/>
      <w:pPr>
        <w:ind w:left="709" w:hanging="709"/>
      </w:pPr>
      <w:rPr>
        <w:rFonts w:ascii="Arial" w:eastAsia="Arial" w:hAnsi="Arial" w:cs="Arial"/>
        <w:b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7124E8"/>
    <w:multiLevelType w:val="multilevel"/>
    <w:tmpl w:val="0DD4C938"/>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trike w:val="0"/>
        <w:color w:val="000000"/>
        <w:sz w:val="22"/>
        <w:szCs w:val="22"/>
      </w:rPr>
    </w:lvl>
    <w:lvl w:ilvl="2">
      <w:start w:val="1"/>
      <w:numFmt w:val="decimal"/>
      <w:lvlText w:val="%1.%2.%3"/>
      <w:lvlJc w:val="left"/>
      <w:pPr>
        <w:ind w:left="709" w:hanging="709"/>
      </w:pPr>
      <w:rPr>
        <w:rFonts w:ascii="Arial" w:eastAsia="Arial" w:hAnsi="Arial" w:cs="Arial"/>
        <w:b w:val="0"/>
        <w:color w:val="000000"/>
      </w:rPr>
    </w:lvl>
    <w:lvl w:ilvl="3">
      <w:start w:val="1"/>
      <w:numFmt w:val="lowerLetter"/>
      <w:lvlText w:val="(%4)"/>
      <w:lvlJc w:val="left"/>
      <w:pPr>
        <w:ind w:left="2410"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22235D"/>
    <w:multiLevelType w:val="multilevel"/>
    <w:tmpl w:val="9A2E4BF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6" w15:restartNumberingAfterBreak="0">
    <w:nsid w:val="348E6493"/>
    <w:multiLevelType w:val="multilevel"/>
    <w:tmpl w:val="6BC6F916"/>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7" w15:restartNumberingAfterBreak="0">
    <w:nsid w:val="36935AF2"/>
    <w:multiLevelType w:val="multilevel"/>
    <w:tmpl w:val="842C1E5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8" w15:restartNumberingAfterBreak="0">
    <w:nsid w:val="3D9E141D"/>
    <w:multiLevelType w:val="multilevel"/>
    <w:tmpl w:val="BDD05654"/>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9" w15:restartNumberingAfterBreak="0">
    <w:nsid w:val="5557394C"/>
    <w:multiLevelType w:val="multilevel"/>
    <w:tmpl w:val="A46652E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num w:numId="1">
    <w:abstractNumId w:val="9"/>
  </w:num>
  <w:num w:numId="2">
    <w:abstractNumId w:val="1"/>
  </w:num>
  <w:num w:numId="3">
    <w:abstractNumId w:val="6"/>
  </w:num>
  <w:num w:numId="4">
    <w:abstractNumId w:val="7"/>
  </w:num>
  <w:num w:numId="5">
    <w:abstractNumId w:val="4"/>
  </w:num>
  <w:num w:numId="6">
    <w:abstractNumId w:val="0"/>
  </w:num>
  <w:num w:numId="7">
    <w:abstractNumId w:val="5"/>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94D"/>
    <w:rsid w:val="00025C57"/>
    <w:rsid w:val="00090DD1"/>
    <w:rsid w:val="00AF194D"/>
    <w:rsid w:val="00AF53A3"/>
    <w:rsid w:val="00B65738"/>
    <w:rsid w:val="00DB77DC"/>
    <w:rsid w:val="00DF2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93DE0E-0592-4E19-9024-BCAA294D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line="240" w:lineRule="auto"/>
      <w:jc w:val="both"/>
      <w:outlineLvl w:val="0"/>
    </w:pPr>
    <w:rPr>
      <w:rFonts w:ascii="Arial" w:eastAsia="Arial" w:hAnsi="Arial" w:cs="Arial"/>
      <w:b/>
      <w:smallCaps/>
      <w:color w:val="000000"/>
    </w:rPr>
  </w:style>
  <w:style w:type="paragraph" w:styleId="Heading2">
    <w:name w:val="heading 2"/>
    <w:basedOn w:val="Normal"/>
    <w:next w:val="Normal"/>
    <w:pPr>
      <w:pBdr>
        <w:top w:val="nil"/>
        <w:left w:val="nil"/>
        <w:bottom w:val="nil"/>
        <w:right w:val="nil"/>
        <w:between w:val="nil"/>
      </w:pBdr>
      <w:spacing w:after="240" w:line="240" w:lineRule="auto"/>
      <w:jc w:val="both"/>
      <w:outlineLvl w:val="1"/>
    </w:pPr>
    <w:rPr>
      <w:rFonts w:ascii="Arial" w:eastAsia="Arial" w:hAnsi="Arial" w:cs="Arial"/>
      <w:color w:val="000000"/>
    </w:rPr>
  </w:style>
  <w:style w:type="paragraph" w:styleId="Heading3">
    <w:name w:val="heading 3"/>
    <w:basedOn w:val="Normal"/>
    <w:next w:val="Normal"/>
    <w:pPr>
      <w:pBdr>
        <w:top w:val="nil"/>
        <w:left w:val="nil"/>
        <w:bottom w:val="nil"/>
        <w:right w:val="nil"/>
        <w:between w:val="nil"/>
      </w:pBdr>
      <w:spacing w:after="240" w:line="240" w:lineRule="auto"/>
      <w:jc w:val="both"/>
      <w:outlineLvl w:val="2"/>
    </w:pPr>
    <w:rPr>
      <w:rFonts w:ascii="Arial" w:eastAsia="Arial" w:hAnsi="Arial" w:cs="Arial"/>
      <w:color w:val="000000"/>
    </w:rPr>
  </w:style>
  <w:style w:type="paragraph" w:styleId="Heading4">
    <w:name w:val="heading 4"/>
    <w:basedOn w:val="Normal"/>
    <w:next w:val="Normal"/>
    <w:pPr>
      <w:pBdr>
        <w:top w:val="nil"/>
        <w:left w:val="nil"/>
        <w:bottom w:val="nil"/>
        <w:right w:val="nil"/>
        <w:between w:val="nil"/>
      </w:pBdr>
      <w:spacing w:after="240" w:line="240" w:lineRule="auto"/>
      <w:jc w:val="both"/>
      <w:outlineLvl w:val="3"/>
    </w:pPr>
    <w:rPr>
      <w:rFonts w:ascii="Arial" w:eastAsia="Arial" w:hAnsi="Arial" w:cs="Arial"/>
      <w:color w:val="000000"/>
    </w:rPr>
  </w:style>
  <w:style w:type="paragraph" w:styleId="Heading5">
    <w:name w:val="heading 5"/>
    <w:basedOn w:val="Normal"/>
    <w:next w:val="Normal"/>
    <w:pPr>
      <w:pBdr>
        <w:top w:val="nil"/>
        <w:left w:val="nil"/>
        <w:bottom w:val="nil"/>
        <w:right w:val="nil"/>
        <w:between w:val="nil"/>
      </w:pBdr>
      <w:spacing w:after="240" w:line="240" w:lineRule="auto"/>
      <w:jc w:val="both"/>
      <w:outlineLvl w:val="4"/>
    </w:pPr>
    <w:rPr>
      <w:rFonts w:ascii="Arial" w:eastAsia="Arial" w:hAnsi="Arial" w:cs="Arial"/>
      <w:color w:val="000000"/>
    </w:rPr>
  </w:style>
  <w:style w:type="paragraph" w:styleId="Heading6">
    <w:name w:val="heading 6"/>
    <w:basedOn w:val="Normal"/>
    <w:next w:val="Normal"/>
    <w:pPr>
      <w:pBdr>
        <w:top w:val="nil"/>
        <w:left w:val="nil"/>
        <w:bottom w:val="nil"/>
        <w:right w:val="nil"/>
        <w:between w:val="nil"/>
      </w:pBdr>
      <w:spacing w:after="240" w:line="240" w:lineRule="auto"/>
      <w:jc w:val="both"/>
      <w:outlineLvl w:val="5"/>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240" w:lineRule="auto"/>
      <w:jc w:val="center"/>
    </w:pPr>
    <w:rPr>
      <w:rFonts w:ascii="Cambria" w:eastAsia="Cambria" w:hAnsi="Cambria" w:cs="Cambria"/>
      <w:b/>
      <w:sz w:val="32"/>
      <w:szCs w:val="32"/>
    </w:rPr>
  </w:style>
  <w:style w:type="paragraph" w:styleId="Subtitle">
    <w:name w:val="Subtitle"/>
    <w:basedOn w:val="Normal"/>
    <w:next w:val="Normal"/>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25C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C57"/>
  </w:style>
  <w:style w:type="paragraph" w:styleId="Footer">
    <w:name w:val="footer"/>
    <w:basedOn w:val="Normal"/>
    <w:link w:val="FooterChar"/>
    <w:uiPriority w:val="99"/>
    <w:unhideWhenUsed/>
    <w:rsid w:val="00025C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064979">
      <w:bodyDiv w:val="1"/>
      <w:marLeft w:val="0"/>
      <w:marRight w:val="0"/>
      <w:marTop w:val="0"/>
      <w:marBottom w:val="0"/>
      <w:divBdr>
        <w:top w:val="none" w:sz="0" w:space="0" w:color="auto"/>
        <w:left w:val="none" w:sz="0" w:space="0" w:color="auto"/>
        <w:bottom w:val="none" w:sz="0" w:space="0" w:color="auto"/>
        <w:right w:val="none" w:sz="0" w:space="0" w:color="auto"/>
      </w:divBdr>
      <w:divsChild>
        <w:div w:id="244415112">
          <w:marLeft w:val="0"/>
          <w:marRight w:val="0"/>
          <w:marTop w:val="0"/>
          <w:marBottom w:val="0"/>
          <w:divBdr>
            <w:top w:val="none" w:sz="0" w:space="0" w:color="auto"/>
            <w:left w:val="none" w:sz="0" w:space="0" w:color="auto"/>
            <w:bottom w:val="none" w:sz="0" w:space="0" w:color="auto"/>
            <w:right w:val="none" w:sz="0" w:space="0" w:color="auto"/>
          </w:divBdr>
        </w:div>
        <w:div w:id="1928342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ordpoolspo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pxgroup.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80</Pages>
  <Words>21050</Words>
  <Characters>119990</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Philippa Hutchins</cp:lastModifiedBy>
  <cp:revision>2</cp:revision>
  <dcterms:created xsi:type="dcterms:W3CDTF">2019-05-08T13:51:00Z</dcterms:created>
  <dcterms:modified xsi:type="dcterms:W3CDTF">2019-05-08T13:51:00Z</dcterms:modified>
</cp:coreProperties>
</file>